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3.jpeg" ContentType="image/jpeg"/>
  <Override PartName="/word/header2.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tabs>
          <w:tab w:val="clear" w:pos="708"/>
          <w:tab w:val="left" w:pos="3390" w:leader="none"/>
          <w:tab w:val="center" w:pos="5032" w:leader="none"/>
        </w:tabs>
        <w:spacing w:lineRule="auto" w:line="240"/>
        <w:jc w:val="center"/>
        <w:rPr>
          <w:rFonts w:ascii="Verdana" w:hAnsi="Verdana" w:eastAsia="Arial" w:cs="Arial"/>
          <w:b/>
          <w:sz w:val="20"/>
          <w:szCs w:val="20"/>
          <w:u w:val="single"/>
        </w:rPr>
      </w:pPr>
      <w:r>
        <w:rPr>
          <w:rFonts w:eastAsia="Arial" w:cs="Arial" w:ascii="Verdana" w:hAnsi="Verdana"/>
          <w:b/>
          <w:sz w:val="20"/>
          <w:szCs w:val="20"/>
          <w:u w:val="single"/>
        </w:rPr>
      </w:r>
    </w:p>
    <w:p>
      <w:pPr>
        <w:pStyle w:val="Normal"/>
        <w:tabs>
          <w:tab w:val="clear" w:pos="708"/>
          <w:tab w:val="left" w:pos="3390" w:leader="none"/>
          <w:tab w:val="center" w:pos="5032" w:leader="none"/>
        </w:tabs>
        <w:spacing w:lineRule="auto" w:line="240"/>
        <w:jc w:val="center"/>
        <w:rPr>
          <w:rFonts w:ascii="Verdana" w:hAnsi="Verdana"/>
          <w:sz w:val="20"/>
          <w:szCs w:val="20"/>
        </w:rPr>
      </w:pPr>
      <w:r>
        <w:rPr>
          <w:rFonts w:eastAsia="Arial" w:cs="Arial" w:ascii="Verdana" w:hAnsi="Verdana"/>
          <w:b/>
          <w:sz w:val="20"/>
          <w:szCs w:val="20"/>
          <w:u w:val="single"/>
        </w:rPr>
        <w:t>ESTUDO TÉCNICO PRELIMINAR</w:t>
      </w:r>
    </w:p>
    <w:p>
      <w:pPr>
        <w:pStyle w:val="Normal"/>
        <w:tabs>
          <w:tab w:val="clear" w:pos="708"/>
          <w:tab w:val="left" w:pos="3390" w:leader="none"/>
          <w:tab w:val="center" w:pos="5032" w:leader="none"/>
        </w:tabs>
        <w:spacing w:lineRule="auto" w:line="240"/>
        <w:jc w:val="center"/>
        <w:rPr>
          <w:rFonts w:ascii="Verdana" w:hAnsi="Verdana" w:eastAsia="Arial" w:cs="Arial"/>
          <w:b/>
          <w:sz w:val="20"/>
          <w:szCs w:val="20"/>
          <w:u w:val="single"/>
        </w:rPr>
      </w:pPr>
      <w:r>
        <w:rPr>
          <w:rFonts w:eastAsia="Arial" w:cs="Arial" w:ascii="Verdana" w:hAnsi="Verdana"/>
          <w:b/>
          <w:sz w:val="20"/>
          <w:szCs w:val="20"/>
          <w:u w:val="single"/>
        </w:rPr>
      </w:r>
    </w:p>
    <w:p>
      <w:pPr>
        <w:pStyle w:val="Normal"/>
        <w:tabs>
          <w:tab w:val="clear" w:pos="708"/>
          <w:tab w:val="left" w:pos="3390" w:leader="none"/>
          <w:tab w:val="center" w:pos="5032" w:leader="none"/>
        </w:tabs>
        <w:spacing w:lineRule="auto" w:line="240"/>
        <w:rPr>
          <w:rFonts w:ascii="Verdana" w:hAnsi="Verdana"/>
          <w:sz w:val="20"/>
          <w:szCs w:val="20"/>
        </w:rPr>
      </w:pPr>
      <w:r>
        <w:rPr>
          <w:rFonts w:eastAsia="Arial" w:cs="Arial" w:ascii="Verdana" w:hAnsi="Verdana"/>
          <w:b/>
          <w:sz w:val="20"/>
          <w:szCs w:val="20"/>
        </w:rPr>
        <w:t>1. INFORMAÇÕES BÁSICAS</w:t>
      </w:r>
    </w:p>
    <w:p>
      <w:pPr>
        <w:pStyle w:val="Normal"/>
        <w:tabs>
          <w:tab w:val="clear" w:pos="708"/>
          <w:tab w:val="left" w:pos="3390" w:leader="none"/>
          <w:tab w:val="center" w:pos="5032" w:leader="none"/>
        </w:tabs>
        <w:spacing w:lineRule="auto" w:line="240"/>
        <w:rPr>
          <w:rFonts w:ascii="Verdana" w:hAnsi="Verdana" w:eastAsia="Arial" w:cs="Arial"/>
          <w:sz w:val="20"/>
          <w:szCs w:val="20"/>
        </w:rPr>
      </w:pPr>
      <w:r>
        <w:rPr>
          <w:rFonts w:eastAsia="Arial" w:cs="Arial" w:ascii="Verdana" w:hAnsi="Verdana"/>
          <w:sz w:val="20"/>
          <w:szCs w:val="20"/>
        </w:rPr>
      </w:r>
    </w:p>
    <w:p>
      <w:pPr>
        <w:pStyle w:val="ListParagraph"/>
        <w:tabs>
          <w:tab w:val="clear" w:pos="708"/>
          <w:tab w:val="left" w:pos="3390" w:leader="none"/>
          <w:tab w:val="center" w:pos="5032" w:leader="none"/>
        </w:tabs>
        <w:spacing w:lineRule="auto" w:line="240" w:before="0" w:after="0"/>
        <w:ind w:left="0"/>
        <w:contextualSpacing/>
        <w:rPr>
          <w:rFonts w:ascii="Verdana" w:hAnsi="Verdana"/>
          <w:sz w:val="20"/>
          <w:szCs w:val="20"/>
        </w:rPr>
      </w:pPr>
      <w:r>
        <w:rPr>
          <w:rFonts w:eastAsia="Arial" w:cs="Arial" w:ascii="Verdana" w:hAnsi="Verdana"/>
          <w:b/>
          <w:sz w:val="20"/>
          <w:szCs w:val="20"/>
        </w:rPr>
        <w:t xml:space="preserve">1.1. </w:t>
      </w:r>
      <w:r>
        <w:rPr>
          <w:rFonts w:eastAsia="Arial" w:cs="Arial" w:ascii="Verdana" w:hAnsi="Verdana"/>
          <w:b/>
          <w:color w:val="000000"/>
          <w:sz w:val="20"/>
          <w:szCs w:val="20"/>
          <w:shd w:fill="auto" w:val="clear"/>
        </w:rPr>
        <w:t xml:space="preserve">Processo Administrativo nº ____/2025. </w:t>
      </w:r>
    </w:p>
    <w:p>
      <w:pPr>
        <w:pStyle w:val="ListParagraph"/>
        <w:tabs>
          <w:tab w:val="clear" w:pos="708"/>
          <w:tab w:val="left" w:pos="3390" w:leader="none"/>
          <w:tab w:val="center" w:pos="5032" w:leader="none"/>
        </w:tabs>
        <w:spacing w:lineRule="auto" w:line="240" w:before="0" w:after="0"/>
        <w:contextualSpacing/>
        <w:rPr>
          <w:rFonts w:ascii="Verdana" w:hAnsi="Verdana" w:eastAsia="Arial" w:cs="Arial"/>
          <w:b/>
          <w:sz w:val="20"/>
          <w:szCs w:val="20"/>
        </w:rPr>
      </w:pPr>
      <w:r>
        <w:rPr>
          <w:rFonts w:eastAsia="Arial" w:cs="Arial" w:ascii="Verdana" w:hAnsi="Verdana"/>
          <w:b/>
          <w:sz w:val="20"/>
          <w:szCs w:val="20"/>
        </w:rPr>
      </w:r>
    </w:p>
    <w:p>
      <w:pPr>
        <w:pStyle w:val="ListParagraph"/>
        <w:tabs>
          <w:tab w:val="clear" w:pos="708"/>
          <w:tab w:val="left" w:pos="3390" w:leader="none"/>
          <w:tab w:val="center" w:pos="5032" w:leader="none"/>
        </w:tabs>
        <w:spacing w:lineRule="auto" w:line="240" w:before="0" w:after="0"/>
        <w:ind w:left="0"/>
        <w:contextualSpacing/>
        <w:jc w:val="center"/>
        <w:rPr>
          <w:rFonts w:ascii="Verdana" w:hAnsi="Verdana"/>
          <w:sz w:val="20"/>
          <w:szCs w:val="20"/>
        </w:rPr>
      </w:pPr>
      <w:r>
        <w:rPr>
          <w:rFonts w:eastAsia="Arial" w:cs="Arial" w:ascii="Verdana" w:hAnsi="Verdana"/>
          <w:b/>
          <w:bCs/>
          <w:sz w:val="20"/>
          <w:szCs w:val="20"/>
        </w:rPr>
        <w:t>Serviços e fornecimento de soluções tecnológicas destinadas à locação, instalação e manutenção para modernizar e ampliar o serviço de videomonitoramento e telecomunicações do município de São Gabriel da palha, contemplando equipamentos, softwares, serviços de instalação, manutenção e suporte técnico.</w:t>
        <w:br/>
      </w:r>
    </w:p>
    <w:p>
      <w:pPr>
        <w:pStyle w:val="ListParagraph"/>
        <w:tabs>
          <w:tab w:val="clear" w:pos="708"/>
          <w:tab w:val="left" w:pos="3390" w:leader="none"/>
          <w:tab w:val="center" w:pos="5032" w:leader="none"/>
        </w:tabs>
        <w:spacing w:lineRule="auto" w:line="240" w:before="0" w:after="0"/>
        <w:ind w:left="0"/>
        <w:contextualSpacing/>
        <w:jc w:val="both"/>
        <w:rPr>
          <w:rFonts w:ascii="Verdana" w:hAnsi="Verdana"/>
          <w:sz w:val="20"/>
          <w:szCs w:val="20"/>
        </w:rPr>
      </w:pPr>
      <w:r>
        <w:rPr>
          <w:rFonts w:eastAsia="Arial" w:cs="Arial" w:ascii="Verdana" w:hAnsi="Verdana"/>
          <w:sz w:val="20"/>
          <w:szCs w:val="20"/>
        </w:rPr>
        <w:t>Este documento consiste em Estudos necessários para assegurar a viabilidade da contratação, mensurar os riscos, determinar uma estratégia de contratação e fornecer subsídios para a elaboração do Termo de Referência, bem como definir um plano de sustentação para a solução contratada.</w:t>
      </w:r>
    </w:p>
    <w:p>
      <w:pPr>
        <w:pStyle w:val="ListParagraph"/>
        <w:tabs>
          <w:tab w:val="clear" w:pos="708"/>
          <w:tab w:val="left" w:pos="3390" w:leader="none"/>
          <w:tab w:val="center" w:pos="5032" w:leader="none"/>
        </w:tabs>
        <w:spacing w:lineRule="auto" w:line="240" w:before="0" w:after="0"/>
        <w:ind w:left="0"/>
        <w:contextualSpacing/>
        <w:jc w:val="both"/>
        <w:rPr>
          <w:rFonts w:ascii="Verdana" w:hAnsi="Verdana" w:eastAsia="Arial" w:cs="Arial"/>
          <w:sz w:val="20"/>
          <w:szCs w:val="20"/>
        </w:rPr>
      </w:pPr>
      <w:r>
        <w:rPr>
          <w:rFonts w:eastAsia="Arial" w:cs="Arial" w:ascii="Verdana" w:hAnsi="Verdana"/>
          <w:sz w:val="20"/>
          <w:szCs w:val="20"/>
        </w:rPr>
      </w:r>
    </w:p>
    <w:p>
      <w:pPr>
        <w:pStyle w:val="ListParagraph"/>
        <w:tabs>
          <w:tab w:val="clear" w:pos="708"/>
          <w:tab w:val="left" w:pos="3390" w:leader="none"/>
          <w:tab w:val="center" w:pos="5032" w:leader="none"/>
        </w:tabs>
        <w:spacing w:lineRule="auto" w:line="240" w:before="0" w:after="0"/>
        <w:ind w:left="0"/>
        <w:contextualSpacing/>
        <w:jc w:val="both"/>
        <w:rPr>
          <w:rFonts w:ascii="Verdana" w:hAnsi="Verdana" w:eastAsia="Arial" w:cs="Arial"/>
          <w:sz w:val="20"/>
          <w:szCs w:val="20"/>
        </w:rPr>
      </w:pPr>
      <w:r>
        <w:rPr>
          <w:rFonts w:eastAsia="Arial" w:cs="Arial" w:ascii="Verdana" w:hAnsi="Verdana"/>
          <w:sz w:val="20"/>
          <w:szCs w:val="20"/>
        </w:rPr>
      </w:r>
    </w:p>
    <w:p>
      <w:pPr>
        <w:pStyle w:val="Normal"/>
        <w:spacing w:lineRule="auto" w:line="240"/>
        <w:jc w:val="both"/>
        <w:rPr>
          <w:rFonts w:ascii="Verdana" w:hAnsi="Verdana"/>
          <w:sz w:val="20"/>
          <w:szCs w:val="20"/>
        </w:rPr>
      </w:pPr>
      <w:r>
        <w:rPr>
          <w:rFonts w:cs="Arial" w:ascii="Verdana" w:hAnsi="Verdana"/>
          <w:b/>
          <w:sz w:val="20"/>
          <w:szCs w:val="20"/>
        </w:rPr>
        <w:t xml:space="preserve">2. LOCAL DE ENTREGA </w:t>
      </w:r>
    </w:p>
    <w:p>
      <w:pPr>
        <w:pStyle w:val="Normal"/>
        <w:spacing w:lineRule="auto" w:line="240"/>
        <w:jc w:val="both"/>
        <w:rPr>
          <w:rFonts w:ascii="Verdana" w:hAnsi="Verdana" w:cs="Arial"/>
          <w:b/>
          <w:sz w:val="20"/>
          <w:szCs w:val="20"/>
        </w:rPr>
      </w:pPr>
      <w:r>
        <w:rPr>
          <w:rFonts w:cs="Arial" w:ascii="Verdana" w:hAnsi="Verdana"/>
          <w:b/>
          <w:sz w:val="20"/>
          <w:szCs w:val="20"/>
        </w:rPr>
      </w:r>
    </w:p>
    <w:p>
      <w:pPr>
        <w:pStyle w:val="Normal"/>
        <w:spacing w:lineRule="auto" w:line="240"/>
        <w:jc w:val="both"/>
        <w:rPr>
          <w:rFonts w:ascii="Verdana" w:hAnsi="Verdana"/>
          <w:sz w:val="20"/>
          <w:szCs w:val="20"/>
        </w:rPr>
      </w:pPr>
      <w:r>
        <w:rPr>
          <w:rFonts w:cs="Arial" w:ascii="Verdana" w:hAnsi="Verdana"/>
          <w:b/>
          <w:sz w:val="20"/>
          <w:szCs w:val="20"/>
        </w:rPr>
        <w:t>Rua: Praça Vicente Glazar, 159 – Bairro Glória</w:t>
      </w:r>
    </w:p>
    <w:p>
      <w:pPr>
        <w:pStyle w:val="Normal"/>
        <w:spacing w:lineRule="auto" w:line="240"/>
        <w:jc w:val="both"/>
        <w:rPr>
          <w:rFonts w:ascii="Verdana" w:hAnsi="Verdana"/>
          <w:sz w:val="20"/>
          <w:szCs w:val="20"/>
        </w:rPr>
      </w:pPr>
      <w:r>
        <w:rPr>
          <w:rFonts w:cs="Arial" w:ascii="Verdana" w:hAnsi="Verdana"/>
          <w:b/>
          <w:sz w:val="20"/>
          <w:szCs w:val="20"/>
        </w:rPr>
        <w:t>Departamento de Almoxarifado Central</w:t>
      </w:r>
    </w:p>
    <w:p>
      <w:pPr>
        <w:pStyle w:val="Normal"/>
        <w:spacing w:lineRule="auto" w:line="240"/>
        <w:jc w:val="both"/>
        <w:rPr>
          <w:rFonts w:ascii="Verdana" w:hAnsi="Verdana"/>
          <w:sz w:val="20"/>
          <w:szCs w:val="20"/>
        </w:rPr>
      </w:pPr>
      <w:r>
        <w:rPr>
          <w:rFonts w:cs="Arial" w:ascii="Verdana" w:hAnsi="Verdana"/>
          <w:b/>
          <w:sz w:val="20"/>
          <w:szCs w:val="20"/>
        </w:rPr>
        <w:t>São Gabriel da Palha – ES</w:t>
      </w:r>
    </w:p>
    <w:p>
      <w:pPr>
        <w:pStyle w:val="Normal"/>
        <w:spacing w:lineRule="auto" w:line="240"/>
        <w:jc w:val="both"/>
        <w:rPr>
          <w:rFonts w:ascii="Verdana" w:hAnsi="Verdana"/>
          <w:sz w:val="20"/>
          <w:szCs w:val="20"/>
        </w:rPr>
      </w:pPr>
      <w:r>
        <w:rPr>
          <w:rFonts w:cs="Arial" w:ascii="Verdana" w:hAnsi="Verdana"/>
          <w:b/>
          <w:sz w:val="20"/>
          <w:szCs w:val="20"/>
        </w:rPr>
        <w:t>CEP 29.7800-000</w:t>
      </w:r>
    </w:p>
    <w:p>
      <w:pPr>
        <w:pStyle w:val="Normal"/>
        <w:spacing w:lineRule="auto" w:line="240"/>
        <w:jc w:val="both"/>
        <w:rPr>
          <w:rFonts w:ascii="Verdana" w:hAnsi="Verdana" w:cs="Arial"/>
          <w:b/>
          <w:sz w:val="20"/>
          <w:szCs w:val="20"/>
        </w:rPr>
      </w:pPr>
      <w:r>
        <w:rPr>
          <w:rFonts w:cs="Arial" w:ascii="Verdana" w:hAnsi="Verdana"/>
          <w:b/>
          <w:sz w:val="20"/>
          <w:szCs w:val="20"/>
        </w:rPr>
      </w:r>
    </w:p>
    <w:p>
      <w:pPr>
        <w:pStyle w:val="Normal"/>
        <w:spacing w:lineRule="auto" w:line="240"/>
        <w:jc w:val="both"/>
        <w:rPr>
          <w:rFonts w:ascii="Verdana" w:hAnsi="Verdana"/>
          <w:sz w:val="20"/>
          <w:szCs w:val="20"/>
        </w:rPr>
      </w:pPr>
      <w:r>
        <w:rPr>
          <w:rFonts w:cs="Arial" w:ascii="Verdana" w:hAnsi="Verdana"/>
          <w:b/>
          <w:sz w:val="20"/>
          <w:szCs w:val="20"/>
        </w:rPr>
        <w:t>3. CONTATO</w:t>
      </w:r>
    </w:p>
    <w:p>
      <w:pPr>
        <w:pStyle w:val="Normal"/>
        <w:spacing w:lineRule="auto" w:line="240"/>
        <w:jc w:val="both"/>
        <w:rPr>
          <w:rFonts w:ascii="Verdana" w:hAnsi="Verdana" w:cs="Arial"/>
          <w:b/>
          <w:sz w:val="20"/>
          <w:szCs w:val="20"/>
        </w:rPr>
      </w:pPr>
      <w:r>
        <w:rPr>
          <w:rFonts w:cs="Arial" w:ascii="Verdana" w:hAnsi="Verdana"/>
          <w:b/>
          <w:sz w:val="20"/>
          <w:szCs w:val="20"/>
        </w:rPr>
      </w:r>
    </w:p>
    <w:p>
      <w:pPr>
        <w:pStyle w:val="Normal"/>
        <w:spacing w:lineRule="auto" w:line="240"/>
        <w:jc w:val="both"/>
        <w:rPr>
          <w:rFonts w:ascii="Verdana" w:hAnsi="Verdana"/>
          <w:sz w:val="20"/>
          <w:szCs w:val="20"/>
        </w:rPr>
      </w:pPr>
      <w:r>
        <w:rPr>
          <w:rFonts w:cs="Arial" w:ascii="Verdana" w:hAnsi="Verdana"/>
          <w:b/>
          <w:sz w:val="20"/>
          <w:szCs w:val="20"/>
        </w:rPr>
        <w:t>Tel: 27 3727-1366</w:t>
      </w:r>
    </w:p>
    <w:p>
      <w:pPr>
        <w:pStyle w:val="Normal"/>
        <w:spacing w:lineRule="auto" w:line="240"/>
        <w:jc w:val="both"/>
        <w:rPr>
          <w:rFonts w:ascii="Verdana" w:hAnsi="Verdana"/>
          <w:sz w:val="20"/>
          <w:szCs w:val="20"/>
        </w:rPr>
      </w:pPr>
      <w:r>
        <w:rPr>
          <w:rFonts w:cs="Arial" w:ascii="Verdana" w:hAnsi="Verdana"/>
          <w:b/>
          <w:sz w:val="20"/>
          <w:szCs w:val="20"/>
        </w:rPr>
        <w:t xml:space="preserve">Email: </w:t>
      </w:r>
      <w:r>
        <w:rPr>
          <w:rFonts w:cs="Arial" w:ascii="Verdana" w:hAnsi="Verdana"/>
          <w:sz w:val="20"/>
          <w:szCs w:val="20"/>
        </w:rPr>
        <w:t>administracao@saogabriel.es.gov.br</w:t>
      </w:r>
    </w:p>
    <w:p>
      <w:pPr>
        <w:pStyle w:val="Normal"/>
        <w:spacing w:lineRule="auto" w:line="240"/>
        <w:jc w:val="both"/>
        <w:rPr>
          <w:rFonts w:ascii="Verdana" w:hAnsi="Verdana"/>
          <w:sz w:val="20"/>
          <w:szCs w:val="20"/>
        </w:rPr>
      </w:pPr>
      <w:r>
        <w:rPr>
          <w:rFonts w:cs="Arial" w:ascii="Verdana" w:hAnsi="Verdana"/>
          <w:b/>
          <w:sz w:val="20"/>
          <w:szCs w:val="20"/>
        </w:rPr>
        <w:t xml:space="preserve">Responsável: </w:t>
      </w:r>
      <w:r>
        <w:rPr>
          <w:rFonts w:cs="Arial" w:ascii="Verdana" w:hAnsi="Verdana"/>
          <w:sz w:val="20"/>
          <w:szCs w:val="20"/>
        </w:rPr>
        <w:t>Secretaria Municipal de Administração</w:t>
      </w:r>
    </w:p>
    <w:p>
      <w:pPr>
        <w:pStyle w:val="Normal"/>
        <w:spacing w:lineRule="auto" w:line="240"/>
        <w:jc w:val="both"/>
        <w:rPr>
          <w:rFonts w:ascii="Verdana" w:hAnsi="Verdana" w:cs="Arial"/>
          <w:b/>
          <w:sz w:val="20"/>
          <w:szCs w:val="20"/>
        </w:rPr>
      </w:pPr>
      <w:r>
        <w:rPr>
          <w:rFonts w:cs="Arial" w:ascii="Verdana" w:hAnsi="Verdana"/>
          <w:b/>
          <w:sz w:val="20"/>
          <w:szCs w:val="20"/>
        </w:rPr>
      </w:r>
    </w:p>
    <w:p>
      <w:pPr>
        <w:pStyle w:val="Normal"/>
        <w:spacing w:lineRule="auto" w:line="240"/>
        <w:jc w:val="both"/>
        <w:rPr>
          <w:rFonts w:ascii="Verdana" w:hAnsi="Verdana" w:cs="Arial"/>
          <w:b/>
          <w:sz w:val="20"/>
          <w:szCs w:val="20"/>
        </w:rPr>
      </w:pPr>
      <w:r>
        <w:rPr>
          <w:rFonts w:cs="Arial" w:ascii="Verdana" w:hAnsi="Verdana"/>
          <w:b/>
          <w:sz w:val="20"/>
          <w:szCs w:val="20"/>
        </w:rPr>
      </w:r>
    </w:p>
    <w:p>
      <w:pPr>
        <w:pStyle w:val="Normal"/>
        <w:shd w:val="clear" w:color="auto" w:fill="FFFFFF"/>
        <w:spacing w:lineRule="auto" w:line="240"/>
        <w:jc w:val="both"/>
        <w:textAlignment w:val="baseline"/>
        <w:rPr>
          <w:rFonts w:ascii="Verdana" w:hAnsi="Verdana"/>
          <w:sz w:val="20"/>
          <w:szCs w:val="20"/>
        </w:rPr>
      </w:pPr>
      <w:r>
        <w:rPr>
          <w:rFonts w:cs="Calibri" w:ascii="Verdana" w:hAnsi="Verdana"/>
          <w:b/>
          <w:bCs/>
          <w:color w:val="000000"/>
          <w:sz w:val="20"/>
          <w:szCs w:val="20"/>
          <w:lang w:eastAsia="pt-BR"/>
        </w:rPr>
        <w:t>4. PREVISÃO NO PLANO DE CONTRATAÇÕES ANUAL</w:t>
      </w:r>
    </w:p>
    <w:p>
      <w:pPr>
        <w:pStyle w:val="Normal"/>
        <w:spacing w:lineRule="auto" w:line="240"/>
        <w:jc w:val="both"/>
        <w:rPr>
          <w:rFonts w:ascii="Verdana" w:hAnsi="Verdana"/>
          <w:sz w:val="20"/>
          <w:szCs w:val="20"/>
        </w:rPr>
      </w:pPr>
      <w:r>
        <w:rPr>
          <w:rFonts w:eastAsia="Arial" w:cs="Arial" w:ascii="Verdana" w:hAnsi="Verdana"/>
          <w:b/>
          <w:bCs/>
          <w:sz w:val="20"/>
          <w:szCs w:val="20"/>
        </w:rPr>
        <w:t xml:space="preserve">4.1. </w:t>
      </w:r>
      <w:r>
        <w:rPr>
          <w:rFonts w:eastAsia="Arial" w:cs="Arial" w:ascii="Verdana" w:hAnsi="Verdana"/>
          <w:sz w:val="20"/>
          <w:szCs w:val="20"/>
        </w:rPr>
        <w:t>A contratação pretendida tem consonância com o planejamento estratégico desta Instituição, uma vez que consta na sua programação orçamentária e financeira anual.</w:t>
      </w:r>
    </w:p>
    <w:p>
      <w:pPr>
        <w:pStyle w:val="Normal"/>
        <w:spacing w:lineRule="auto" w:line="240"/>
        <w:jc w:val="both"/>
        <w:rPr>
          <w:rFonts w:ascii="Verdana" w:hAnsi="Verdana"/>
          <w:sz w:val="20"/>
          <w:szCs w:val="20"/>
        </w:rPr>
      </w:pPr>
      <w:r>
        <w:rPr>
          <w:rFonts w:eastAsia="Arial" w:cs="Arial" w:ascii="Verdana" w:hAnsi="Verdana"/>
          <w:b/>
          <w:bCs/>
          <w:sz w:val="20"/>
          <w:szCs w:val="20"/>
        </w:rPr>
        <w:t xml:space="preserve">4.2 </w:t>
      </w:r>
      <w:r>
        <w:rPr>
          <w:rFonts w:eastAsia="Arial" w:cs="Arial" w:ascii="Verdana" w:hAnsi="Verdana"/>
          <w:sz w:val="20"/>
          <w:szCs w:val="20"/>
        </w:rPr>
        <w:t>O contrato e/ou Ata de Registro de Preços advindos desta aquisição, poderão ser prorrogados conforme Lei. 14.133/2021, precedida de Pesquisa de Mercado, para comprovar o preço vantajoso.</w:t>
      </w:r>
    </w:p>
    <w:p>
      <w:pPr>
        <w:pStyle w:val="Normal"/>
        <w:spacing w:lineRule="auto" w:line="240"/>
        <w:jc w:val="both"/>
        <w:rPr>
          <w:rFonts w:ascii="Verdana" w:hAnsi="Verdana" w:cs="Arial"/>
          <w:b/>
          <w:sz w:val="20"/>
          <w:szCs w:val="20"/>
        </w:rPr>
      </w:pPr>
      <w:r>
        <w:rPr>
          <w:rFonts w:cs="Arial" w:ascii="Verdana" w:hAnsi="Verdana"/>
          <w:b/>
          <w:sz w:val="20"/>
          <w:szCs w:val="20"/>
        </w:rPr>
      </w:r>
    </w:p>
    <w:p>
      <w:pPr>
        <w:pStyle w:val="Normal"/>
        <w:spacing w:lineRule="auto" w:line="240"/>
        <w:jc w:val="both"/>
        <w:rPr>
          <w:rFonts w:ascii="Verdana" w:hAnsi="Verdana" w:cs="Arial"/>
          <w:b/>
          <w:sz w:val="20"/>
          <w:szCs w:val="20"/>
        </w:rPr>
      </w:pPr>
      <w:r>
        <w:rPr>
          <w:rFonts w:cs="Arial" w:ascii="Verdana" w:hAnsi="Verdana"/>
          <w:b/>
          <w:sz w:val="20"/>
          <w:szCs w:val="20"/>
        </w:rPr>
      </w:r>
    </w:p>
    <w:p>
      <w:pPr>
        <w:pStyle w:val="Normal"/>
        <w:spacing w:lineRule="auto" w:line="240"/>
        <w:jc w:val="both"/>
        <w:rPr>
          <w:rFonts w:ascii="Verdana" w:hAnsi="Verdana"/>
          <w:sz w:val="20"/>
          <w:szCs w:val="20"/>
        </w:rPr>
      </w:pPr>
      <w:r>
        <w:rPr>
          <w:rFonts w:cs="Arial" w:ascii="Verdana" w:hAnsi="Verdana"/>
          <w:b/>
          <w:sz w:val="20"/>
          <w:szCs w:val="20"/>
        </w:rPr>
        <w:t>5. DESCRIÇÃO DA NECESSIDADE</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b/>
          <w:bCs/>
          <w:color w:val="000000"/>
          <w:sz w:val="20"/>
          <w:szCs w:val="20"/>
        </w:rPr>
        <w:t xml:space="preserve">5.1. </w:t>
      </w:r>
      <w:r>
        <w:rPr>
          <w:rFonts w:cs="Arial" w:ascii="Verdana" w:hAnsi="Verdana"/>
          <w:color w:val="000000"/>
          <w:sz w:val="20"/>
          <w:szCs w:val="20"/>
        </w:rPr>
        <w:t xml:space="preserve">O sistema de videomonitoramento e telecomunicações implantado no município tem se consolidado como uma ferramenta estratégica de apoio às ações desenvolvidas por diversas secretarias municipais, contribuindo diretamente para a melhoria da prestação dos serviços públicos, andamento de processos internos o fortalecimento da segurança pública. </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br/>
        <w:t>A presença de câmeras em pontos estratégicos tem ampliado a capacidade de fiscalização, inibido práticas ilícitas e proporcionado suporte a Secretaria de Trânsito (Secretaria Municipal de Obras e Serviços Urbanos), a Polícia Militar e Polícia Civil no município, promovendo maior sensação de segurança à população e resposta mais eficiente a ocorrências em tempo real.</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O uso estratégico do sistema tem contribuído de forma efetiva para o reforço da segurança pública, especialmente em vias públicas, praças, escolas e unidades de saúde. Esses locais, por concentrarem grande fluxo de pessoas e estarem mais suscetíveis a ocorrências, passaram a contar com vigilância contínua, o que tem inibido práticas criminosas, auxiliado no controle de acesso e possibilitado resposta mais rápida nas ocorrências.</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br/>
        <w:t>A fim de garantir conectividade e suporte adequado às atividades administrativas, operacionais e sociais do município, a atual estrutura contempla diferentes soluções de acesso à internet e distribuição de sinal, implantadas conforme a viabilidade técnica e a localização de cada ponto.</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Atualmente, a Prefeitura e as secretarias municipais são atendidas por meio de rede de fibra óptica, com utilização de conversores de mídia nos pontos de atendimento, assegurando conectividade estável e de alta capacidade. A Secretaria Municipal de Educação, por exemplo, dispõe de serviço de Wi-Fi disponível para uso dos professores nas unidades escolares, apoiando atividades pedagógicas e administrativas. Além disso, em diversas praças públicas do município, o acesso à internet sem fio é disponibilizado gratuitamente à população, promovendo inclusão digital e acesso à informação em espaços de convivência coletiva.</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Além da infraestrutura cabeada por fibra óptica, algumas secretarias possuem pontos de atendimento localizados fora da região central do município, muitas vezes em áreas com menor cobertura de rede. Nesses casos, a conectividade é viabilizada por meio de enlaces de rádio ponto a ponto, garantindo a inclusão digital e a continuidade dos serviços públicos mesmo em regiões mais afastadas. Essa solução tem sido essencial para assegurar comunicação eficiente e acesso a sistemas administrativos em tempo real, promovendo maior equidade no atendimento às demandas da população.</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Segundo estimativa populacional do IBGE para o ano de 2024, o município possui aproximadamente 34.210 habitantes. De acordo com o Censo Demográfico de 2022, a população está distribuída entre as zonas urbana e rural, sendo que 78% (26.683) dos habitantes residem em áreas urbanas e 22% (7.527) em áreas rurais. O município é classificado como de Pequeno Porte II, o que reforça a importância de políticas públicas voltadas à inclusão digital e à expansão de serviços essenciais, especialmente nas regiões mais afastadas do núcleo urbano.</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Segundo dados do Portal do CAD Único do Governo Federal, em julho de 2025, o município contava com 6.099 famílias cadastradas no Cadastro Único para Programas Sociais, totalizando 14.541 pessoas. Dentre essas, 1.671 famílias se encontram em situação de pobreza e 1.695 em situação de baixa renda. A estimativa total de famílias com perfil para o Cadastro Único é de 3.181, demonstrando a relevância da rede de assistência social e a necessidade de políticas públicas que assegurem acesso à conectividade, informação e serviços públicos essenciais, especialmente para os grupos em maior vulnerabilidade.</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A rede municipal de saúde de São Gabriel da Palha conta atualmente com uma estrutura diversificada e descentralizada de atendimento, composta por 20 unidades de saúde, incluindo Estratégias de Saúde da Família (ESF), Postos de Saúde da Família (PSF), unidades especializadas como o Centro de Reabilitação Física e Fonoaudiológica, o CAPS I, o CTA, o Hospital São Gabriel e unidades de apoio como a Farmácia Básica, Vigilância em Saúde e o Laboratório Público Municipal. Essa rede cobre tanto a zona urbana quanto áreas rurais, garantindo acesso aos serviços básicos e especializados de saúde à população.</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O município deu um passo importante em agosto de 2025 com a implantação da telemedicina em casa e na rede pública, promovendo maior acesso da população aos serviços médicos especializados. Essa iniciativa tem possibilitado atendimentos a distância em áreas como clínica geral, psiquiatria e acompanhamento de pacientes crônicos, com impactos positivos principalmente nas localidades mais afastadas da região central. A telemedicina também contribui para a descentralização da demanda nos postos físicos, otimizando recursos humanos e estruturais, ao mesmo tempo em que amplia o alcance das políticas públicas de saúde.</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Em São Gabriel da Palha, a educação pública tem avançado em cobertura e qualidade o município tem em seu território 38 escolas distribuídas entre escolas urbanas e rurais, mais de 4.400 alunos e 350 professores. Nesse contexto, promover o acesso dos estudantes às tecnologias digitais — por meio de conectividade, ambientes informatizados e dispositivos adequados — é fundamental para garantir equidade no processo de ensino-aprendizagem, desenvolver competências digitais e preparar os alunos para o mercado de trabalho e para continuidade dos estudos. Além disso, fomentar os professores com instrumentos tecnológicos e pedagógicos adequados fortalece ainda mais o processo educacional, permitindo práticas inovadoras, metodologias ativas e o uso de plataformas digitais de apoio, que contribuem para o engajamento dos estudantes e a melhoria dos indicadores de desempenho educacional do município.</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Atualmente, quase a totalidade dos professores da rede municipal de ensino conta com notebooks fornecidos pela Prefeitura, destinados ao uso tanto nas unidades escolares quanto em suas residências. Essa iniciativa tem fortalecido o processo pedagógico ao munir os docentes com ferramentas tecnológicas que possibilitam o planejamento de aulas, a utilização de recursos digitais e a continuidade das atividades educacionais fora do ambiente escolar, promovendo uma educação mais moderna, acessível e alinhada às demandas contemporâneas.</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Diante do cenário descrito, fica evidente que o município de São Gabriel da Palha tem como prioridade o avanço na modernização de sua infraestrutura tecnológica, com impactos diretos na segurança pública, na conectividade institucional, no fortalecimento da educação e na ampliação do acesso aos serviços de educação, saúde e assistência social. A integração entre videomonitoramento, redes de telecomunicações, inclusão digital e ferramentas inovadoras como a telemedicina demonstra o comprometimento da administração municipal com a eficiência dos serviços prestados e com a promoção da equidade no atendimento à população — especialmente àquela em situação de vulnerabilidade ou residente em regiões mais afastadas. Esses avanços consolidam uma base sólida para demonstrar a necessidade de expansão do parque tecnológico municipal, reforçando a importância de investimentos contínuos que garantam a sustentabilidade, a interoperabilidade e a evolução dos sistemas públicos essenciais.</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Atualmente, o município mantém contrato com empresa para a prestação de serviços de videomonitoramento e telecomunicações, por meio em regime de comodato e prestação de serviço. Nesse formato, a contratada é responsável pela instalação dos equipamentos, bem como pela manutenção preventiva e corretiva, suporte técnico e plena operacionalização do sistema. Esse arranjo tem se mostrado eficiente e ágil no atendimento das demandas da administração pública e suas secretarias, garantindo a continuidade dos serviços.</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Além disso, o modelo isenta o município de custos relacionados à substituição de equipamentos danificados por queima, mau uso ou atos de vandalismo, o que representa uma importante vantagem operacional e orçamentária. Os resultados observados até o momento têm sido positivos para o município, tanto em termos de desempenho técnico quanto na gestão eficiente do parque tecnológico.</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 xml:space="preserve">Considerando a eficiência operacional já comprovada e os resultados positivos obtidos com o modelo atualmente adotado, recomenda-se à administração municipal a continuidade desse formato contratual em futuras e eventuais ampliações do sistema. </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t>O município de São Gabriel da Palha conta com 139 pontos de videomonitoramento distribuídos estrategicamente em áreas de grande circulação e relevância para a segurança pública, incluindo vias urbanas, praças, escolas e unidades de saúde.</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tbl>
      <w:tblPr>
        <w:tblStyle w:val="8"/>
        <w:tblW w:w="9751" w:type="dxa"/>
        <w:jc w:val="left"/>
        <w:tblInd w:w="75" w:type="dxa"/>
        <w:tblLayout w:type="fixed"/>
        <w:tblCellMar>
          <w:top w:w="0" w:type="dxa"/>
          <w:left w:w="70" w:type="dxa"/>
          <w:bottom w:w="0" w:type="dxa"/>
          <w:right w:w="70" w:type="dxa"/>
        </w:tblCellMar>
      </w:tblPr>
      <w:tblGrid>
        <w:gridCol w:w="413"/>
        <w:gridCol w:w="4791"/>
        <w:gridCol w:w="1474"/>
        <w:gridCol w:w="3072"/>
      </w:tblGrid>
      <w:tr>
        <w:trPr>
          <w:trHeight w:val="246" w:hRule="atLeast"/>
        </w:trPr>
        <w:tc>
          <w:tcPr>
            <w:tcW w:w="413"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4791"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1474"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Quantidade</w:t>
            </w:r>
          </w:p>
        </w:tc>
        <w:tc>
          <w:tcPr>
            <w:tcW w:w="3072"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Violanda Fracalossi Galetti</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(-19.023902, -40.536401)</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EMEFTI Bem Viver</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(-19.030455, -40.529644)</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Irmã Adelaide Bertocchi</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9</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(-19.021413, -40.535600)</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Dona Neca</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(-19.030681, -40.534850)</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Vovó Zefa</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(-19.008974, -40.539641)</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Bertolo Malacarne</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(-19.041114, -40.541747)</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Pequeno Príncipe</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(-19.040828, -40.542237)</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8</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EMEIEF João Gabriel</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(-19.033392, -40.541648)</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9</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Mercedes Gomes de Oliveira</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(-19.019697, -40.540493)</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10</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Professora Maria Celeste Torezani Storch</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(-19.021465, -40.537230)</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11</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Professora Anna Cavatti Colombi</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(-19.006647, -40.539615)</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12</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PEM Chapeuzinho Vermelho</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(-19.017527, -40.535999)</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13</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Professor Carlos Dias Miranda Cunha</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(-19.015488, -40.540717)</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14</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Garagem dos Ônibus Escolares</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(-19.028507, -40.529302)</w:t>
            </w:r>
          </w:p>
        </w:tc>
      </w:tr>
      <w:tr>
        <w:trPr>
          <w:trHeight w:val="246" w:hRule="atLeast"/>
        </w:trPr>
        <w:tc>
          <w:tcPr>
            <w:tcW w:w="413"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15</w:t>
            </w:r>
          </w:p>
        </w:tc>
        <w:tc>
          <w:tcPr>
            <w:tcW w:w="4791"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Luciana Glazar Pinaffo</w:t>
            </w:r>
          </w:p>
        </w:tc>
        <w:tc>
          <w:tcPr>
            <w:tcW w:w="147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307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(-18.999772, -40.534056)</w:t>
            </w:r>
          </w:p>
        </w:tc>
      </w:tr>
      <w:tr>
        <w:trPr>
          <w:trHeight w:val="246" w:hRule="atLeast"/>
        </w:trPr>
        <w:tc>
          <w:tcPr>
            <w:tcW w:w="413"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r>
          </w:p>
        </w:tc>
        <w:tc>
          <w:tcPr>
            <w:tcW w:w="4791"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Total</w:t>
            </w:r>
          </w:p>
        </w:tc>
        <w:tc>
          <w:tcPr>
            <w:tcW w:w="1474"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69</w:t>
            </w:r>
          </w:p>
        </w:tc>
        <w:tc>
          <w:tcPr>
            <w:tcW w:w="3072"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r>
          </w:p>
        </w:tc>
      </w:tr>
    </w:tbl>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tbl>
      <w:tblPr>
        <w:tblStyle w:val="8"/>
        <w:tblW w:w="9767" w:type="dxa"/>
        <w:jc w:val="left"/>
        <w:tblInd w:w="75" w:type="dxa"/>
        <w:tblLayout w:type="fixed"/>
        <w:tblCellMar>
          <w:top w:w="0" w:type="dxa"/>
          <w:left w:w="70" w:type="dxa"/>
          <w:bottom w:w="0" w:type="dxa"/>
          <w:right w:w="70" w:type="dxa"/>
        </w:tblCellMar>
      </w:tblPr>
      <w:tblGrid>
        <w:gridCol w:w="411"/>
        <w:gridCol w:w="4720"/>
        <w:gridCol w:w="1445"/>
        <w:gridCol w:w="3190"/>
      </w:tblGrid>
      <w:tr>
        <w:trPr>
          <w:trHeight w:val="280" w:hRule="atLeast"/>
        </w:trPr>
        <w:tc>
          <w:tcPr>
            <w:tcW w:w="411"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4720"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1445"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Quantidade</w:t>
            </w:r>
          </w:p>
        </w:tc>
        <w:tc>
          <w:tcPr>
            <w:tcW w:w="3190"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Bar do Espadeto</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(-19.016738, -40.538284)</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Posto Glazar</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(-19.019950, -40.534877)</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Banco Banestes</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(-19.018265, -40.537271)</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Igreja Matriz</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(-19.017060, -40.536804)</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Banco Caixa Econômica</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(-19.019457, -40.535145)</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Praça Cricaré</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(-19.018530, -40.536585)</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Polícia Militar</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(-19.018824, -40.535397)</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8</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Centro (Farmácia Adelson)</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(-19.018939, -40.536687)</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9</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Galeria (Gula Mania)</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(-19.017861, -40.537144)</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10</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Saída para Nova Venécia (Sup. Pessin)</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(-19.015652, -40.536583)</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11</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Saída para Vila Valério</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(-19.016198, -40.535417)</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12</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Ginásio de Esportes</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(-19.016255, -40.537324)</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13</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CRAS (Vila Comboni)</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(-19.029224, -40.529888)</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14</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Secretaria de Assistência Social</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(-19.020011, -40.533684)</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15</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Correios</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(-19.019560, -40.536417)</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16</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Academia Campestre</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(-19.014562, -40.542456)</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17</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Torre da Prefeitura</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(-19.022507, -40.540802)</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Posto Atlântica (Lanchonete Skinas)</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(-19.014025, -40.539021)</w:t>
            </w:r>
          </w:p>
        </w:tc>
      </w:tr>
      <w:tr>
        <w:trPr>
          <w:trHeight w:val="280"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w:t>
            </w:r>
          </w:p>
        </w:tc>
        <w:tc>
          <w:tcPr>
            <w:tcW w:w="472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Prefeitura Municipal</w:t>
            </w:r>
          </w:p>
        </w:tc>
        <w:tc>
          <w:tcPr>
            <w:tcW w:w="1445"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190"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(-19.020629, -40.532858)</w:t>
            </w:r>
          </w:p>
        </w:tc>
      </w:tr>
      <w:tr>
        <w:trPr>
          <w:trHeight w:val="280" w:hRule="atLeast"/>
        </w:trPr>
        <w:tc>
          <w:tcPr>
            <w:tcW w:w="411"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r>
          </w:p>
        </w:tc>
        <w:tc>
          <w:tcPr>
            <w:tcW w:w="4720"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Total</w:t>
            </w:r>
          </w:p>
        </w:tc>
        <w:tc>
          <w:tcPr>
            <w:tcW w:w="1445"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48</w:t>
            </w:r>
          </w:p>
        </w:tc>
        <w:tc>
          <w:tcPr>
            <w:tcW w:w="3190"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r>
          </w:p>
        </w:tc>
      </w:tr>
    </w:tbl>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br/>
      </w:r>
    </w:p>
    <w:tbl>
      <w:tblPr>
        <w:tblStyle w:val="8"/>
        <w:tblW w:w="9789" w:type="dxa"/>
        <w:jc w:val="left"/>
        <w:tblInd w:w="75" w:type="dxa"/>
        <w:tblLayout w:type="fixed"/>
        <w:tblCellMar>
          <w:top w:w="0" w:type="dxa"/>
          <w:left w:w="70" w:type="dxa"/>
          <w:bottom w:w="0" w:type="dxa"/>
          <w:right w:w="70" w:type="dxa"/>
        </w:tblCellMar>
      </w:tblPr>
      <w:tblGrid>
        <w:gridCol w:w="411"/>
        <w:gridCol w:w="4807"/>
        <w:gridCol w:w="1473"/>
        <w:gridCol w:w="3097"/>
      </w:tblGrid>
      <w:tr>
        <w:trPr>
          <w:trHeight w:val="226" w:hRule="atLeast"/>
        </w:trPr>
        <w:tc>
          <w:tcPr>
            <w:tcW w:w="411"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4807"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147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Quantidade</w:t>
            </w:r>
          </w:p>
        </w:tc>
        <w:tc>
          <w:tcPr>
            <w:tcW w:w="3097"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226"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480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Secretaria Municipal de Saúde</w:t>
            </w:r>
          </w:p>
        </w:tc>
        <w:tc>
          <w:tcPr>
            <w:tcW w:w="147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309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(-19.014470, -40.538078)</w:t>
            </w:r>
          </w:p>
        </w:tc>
      </w:tr>
      <w:tr>
        <w:trPr>
          <w:trHeight w:val="226"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480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Onça (Therezinha Margarida Taquette Canal)</w:t>
            </w:r>
          </w:p>
        </w:tc>
        <w:tc>
          <w:tcPr>
            <w:tcW w:w="147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09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(-19.042248, -40.540813)</w:t>
            </w:r>
          </w:p>
        </w:tc>
      </w:tr>
      <w:tr>
        <w:trPr>
          <w:trHeight w:val="226"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480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Progresso</w:t>
            </w:r>
          </w:p>
        </w:tc>
        <w:tc>
          <w:tcPr>
            <w:tcW w:w="147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09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(-19.009803, -40.542347)</w:t>
            </w:r>
          </w:p>
        </w:tc>
      </w:tr>
      <w:tr>
        <w:trPr>
          <w:trHeight w:val="226"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480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São Sebastião</w:t>
            </w:r>
          </w:p>
        </w:tc>
        <w:tc>
          <w:tcPr>
            <w:tcW w:w="147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09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(-19.018844, -40.541746)</w:t>
            </w:r>
          </w:p>
        </w:tc>
      </w:tr>
      <w:tr>
        <w:trPr>
          <w:trHeight w:val="226"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480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Boa Vista / Santa Helena</w:t>
            </w:r>
          </w:p>
        </w:tc>
        <w:tc>
          <w:tcPr>
            <w:tcW w:w="147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09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(-19.005612, -40.538912)</w:t>
            </w:r>
          </w:p>
        </w:tc>
      </w:tr>
      <w:tr>
        <w:trPr>
          <w:trHeight w:val="226"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480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Laboratório Municipal de Análises Clínicas</w:t>
            </w:r>
          </w:p>
        </w:tc>
        <w:tc>
          <w:tcPr>
            <w:tcW w:w="147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09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(-19.020379, -40.534063)</w:t>
            </w:r>
          </w:p>
        </w:tc>
      </w:tr>
      <w:tr>
        <w:trPr>
          <w:trHeight w:val="226"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480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Hospital Municipal de São Gabriel da Palha</w:t>
            </w:r>
          </w:p>
        </w:tc>
        <w:tc>
          <w:tcPr>
            <w:tcW w:w="147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09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(-19.020338, -40.533238)</w:t>
            </w:r>
          </w:p>
        </w:tc>
      </w:tr>
      <w:tr>
        <w:trPr>
          <w:trHeight w:val="226" w:hRule="atLeast"/>
        </w:trPr>
        <w:tc>
          <w:tcPr>
            <w:tcW w:w="411"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8</w:t>
            </w:r>
          </w:p>
        </w:tc>
        <w:tc>
          <w:tcPr>
            <w:tcW w:w="480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Vila Comboni</w:t>
            </w:r>
          </w:p>
        </w:tc>
        <w:tc>
          <w:tcPr>
            <w:tcW w:w="147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097"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(-19.028984, -40.529945)</w:t>
            </w:r>
          </w:p>
        </w:tc>
      </w:tr>
      <w:tr>
        <w:trPr>
          <w:trHeight w:val="226" w:hRule="atLeast"/>
        </w:trPr>
        <w:tc>
          <w:tcPr>
            <w:tcW w:w="411"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r>
          </w:p>
        </w:tc>
        <w:tc>
          <w:tcPr>
            <w:tcW w:w="4807"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Total</w:t>
            </w:r>
          </w:p>
        </w:tc>
        <w:tc>
          <w:tcPr>
            <w:tcW w:w="1473"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14</w:t>
            </w:r>
          </w:p>
        </w:tc>
        <w:tc>
          <w:tcPr>
            <w:tcW w:w="3097"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r>
          </w:p>
        </w:tc>
      </w:tr>
    </w:tbl>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br/>
      </w:r>
    </w:p>
    <w:tbl>
      <w:tblPr>
        <w:tblStyle w:val="8"/>
        <w:tblW w:w="9800" w:type="dxa"/>
        <w:jc w:val="left"/>
        <w:tblInd w:w="75" w:type="dxa"/>
        <w:tblLayout w:type="fixed"/>
        <w:tblCellMar>
          <w:top w:w="0" w:type="dxa"/>
          <w:left w:w="70" w:type="dxa"/>
          <w:bottom w:w="0" w:type="dxa"/>
          <w:right w:w="70" w:type="dxa"/>
        </w:tblCellMar>
      </w:tblPr>
      <w:tblGrid>
        <w:gridCol w:w="470"/>
        <w:gridCol w:w="4655"/>
        <w:gridCol w:w="1443"/>
        <w:gridCol w:w="3231"/>
      </w:tblGrid>
      <w:tr>
        <w:trPr>
          <w:trHeight w:val="233" w:hRule="atLeast"/>
        </w:trPr>
        <w:tc>
          <w:tcPr>
            <w:tcW w:w="470"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4655"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144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Quantidade</w:t>
            </w:r>
          </w:p>
        </w:tc>
        <w:tc>
          <w:tcPr>
            <w:tcW w:w="3231"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233" w:hRule="atLeast"/>
        </w:trPr>
        <w:tc>
          <w:tcPr>
            <w:tcW w:w="47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4655"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Posto Glazar</w:t>
            </w:r>
          </w:p>
        </w:tc>
        <w:tc>
          <w:tcPr>
            <w:tcW w:w="14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23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(-19.019950, -40.534877)</w:t>
            </w:r>
          </w:p>
        </w:tc>
      </w:tr>
      <w:tr>
        <w:trPr>
          <w:trHeight w:val="233" w:hRule="atLeast"/>
        </w:trPr>
        <w:tc>
          <w:tcPr>
            <w:tcW w:w="47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4655"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Banco Banestes</w:t>
            </w:r>
          </w:p>
        </w:tc>
        <w:tc>
          <w:tcPr>
            <w:tcW w:w="14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23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(-19.018265, -40.537271)</w:t>
            </w:r>
          </w:p>
        </w:tc>
      </w:tr>
      <w:tr>
        <w:trPr>
          <w:trHeight w:val="233" w:hRule="atLeast"/>
        </w:trPr>
        <w:tc>
          <w:tcPr>
            <w:tcW w:w="47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4655"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Igreja Matriz</w:t>
            </w:r>
          </w:p>
        </w:tc>
        <w:tc>
          <w:tcPr>
            <w:tcW w:w="14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23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(-19.017060, -40.536804)</w:t>
            </w:r>
          </w:p>
        </w:tc>
      </w:tr>
      <w:tr>
        <w:trPr>
          <w:trHeight w:val="233" w:hRule="atLeast"/>
        </w:trPr>
        <w:tc>
          <w:tcPr>
            <w:tcW w:w="47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4655"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Praça Cricaré</w:t>
            </w:r>
          </w:p>
        </w:tc>
        <w:tc>
          <w:tcPr>
            <w:tcW w:w="14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23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(-19.018530, -40.536585)</w:t>
            </w:r>
          </w:p>
        </w:tc>
      </w:tr>
      <w:tr>
        <w:trPr>
          <w:trHeight w:val="233" w:hRule="atLeast"/>
        </w:trPr>
        <w:tc>
          <w:tcPr>
            <w:tcW w:w="47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4655"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Saída para Colatina (Córrego da Onça)</w:t>
            </w:r>
          </w:p>
        </w:tc>
        <w:tc>
          <w:tcPr>
            <w:tcW w:w="144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231"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(-19.042485, -40.539591)</w:t>
            </w:r>
          </w:p>
        </w:tc>
      </w:tr>
      <w:tr>
        <w:trPr>
          <w:trHeight w:val="233" w:hRule="atLeast"/>
        </w:trPr>
        <w:tc>
          <w:tcPr>
            <w:tcW w:w="470" w:type="dxa"/>
            <w:tcBorders>
              <w:left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cs="Calibri"/>
                <w:color w:val="000000"/>
                <w:kern w:val="0"/>
                <w:sz w:val="20"/>
                <w:szCs w:val="20"/>
                <w:lang w:eastAsia="pt-BR"/>
              </w:rPr>
            </w:pPr>
            <w:r>
              <w:rPr>
                <w:rFonts w:cs="Calibri" w:ascii="Verdana" w:hAnsi="Verdana"/>
                <w:color w:val="000000"/>
                <w:kern w:val="0"/>
                <w:sz w:val="20"/>
                <w:szCs w:val="20"/>
                <w:lang w:eastAsia="pt-BR"/>
              </w:rPr>
            </w:r>
          </w:p>
        </w:tc>
        <w:tc>
          <w:tcPr>
            <w:tcW w:w="4655"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Total</w:t>
            </w:r>
          </w:p>
        </w:tc>
        <w:tc>
          <w:tcPr>
            <w:tcW w:w="1443"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5</w:t>
            </w:r>
          </w:p>
        </w:tc>
        <w:tc>
          <w:tcPr>
            <w:tcW w:w="3231"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r>
          </w:p>
        </w:tc>
      </w:tr>
    </w:tbl>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br/>
      </w:r>
    </w:p>
    <w:tbl>
      <w:tblPr>
        <w:tblStyle w:val="8"/>
        <w:tblW w:w="9811" w:type="dxa"/>
        <w:jc w:val="left"/>
        <w:tblInd w:w="75" w:type="dxa"/>
        <w:tblLayout w:type="fixed"/>
        <w:tblCellMar>
          <w:top w:w="0" w:type="dxa"/>
          <w:left w:w="70" w:type="dxa"/>
          <w:bottom w:w="0" w:type="dxa"/>
          <w:right w:w="70" w:type="dxa"/>
        </w:tblCellMar>
      </w:tblPr>
      <w:tblGrid>
        <w:gridCol w:w="516"/>
        <w:gridCol w:w="4623"/>
        <w:gridCol w:w="1448"/>
        <w:gridCol w:w="3223"/>
      </w:tblGrid>
      <w:tr>
        <w:trPr>
          <w:trHeight w:val="245" w:hRule="atLeast"/>
        </w:trPr>
        <w:tc>
          <w:tcPr>
            <w:tcW w:w="516"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462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1448"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Quantidade</w:t>
            </w:r>
          </w:p>
        </w:tc>
        <w:tc>
          <w:tcPr>
            <w:tcW w:w="3223"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245" w:hRule="atLeast"/>
        </w:trPr>
        <w:tc>
          <w:tcPr>
            <w:tcW w:w="5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4623"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Centro (Farmácia Adelson)</w:t>
            </w:r>
          </w:p>
        </w:tc>
        <w:tc>
          <w:tcPr>
            <w:tcW w:w="144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22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(-19.018939, -40.536687)</w:t>
            </w:r>
          </w:p>
        </w:tc>
      </w:tr>
      <w:tr>
        <w:trPr>
          <w:trHeight w:val="245" w:hRule="atLeast"/>
        </w:trPr>
        <w:tc>
          <w:tcPr>
            <w:tcW w:w="516"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4623"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Saída Nova Venécia</w:t>
            </w:r>
          </w:p>
        </w:tc>
        <w:tc>
          <w:tcPr>
            <w:tcW w:w="144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223"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(-19.015652, -40.536583)</w:t>
            </w:r>
          </w:p>
        </w:tc>
      </w:tr>
      <w:tr>
        <w:trPr>
          <w:trHeight w:val="245" w:hRule="atLeast"/>
        </w:trPr>
        <w:tc>
          <w:tcPr>
            <w:tcW w:w="516" w:type="dxa"/>
            <w:tcBorders>
              <w:left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cs="Calibri"/>
                <w:color w:val="000000"/>
                <w:kern w:val="0"/>
                <w:sz w:val="20"/>
                <w:szCs w:val="20"/>
                <w:lang w:eastAsia="pt-BR"/>
              </w:rPr>
            </w:pPr>
            <w:r>
              <w:rPr>
                <w:rFonts w:cs="Calibri" w:ascii="Verdana" w:hAnsi="Verdana"/>
                <w:color w:val="000000"/>
                <w:kern w:val="0"/>
                <w:sz w:val="20"/>
                <w:szCs w:val="20"/>
                <w:lang w:eastAsia="pt-BR"/>
              </w:rPr>
            </w:r>
          </w:p>
        </w:tc>
        <w:tc>
          <w:tcPr>
            <w:tcW w:w="4623"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Total</w:t>
            </w:r>
          </w:p>
        </w:tc>
        <w:tc>
          <w:tcPr>
            <w:tcW w:w="1448"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3</w:t>
            </w:r>
          </w:p>
        </w:tc>
        <w:tc>
          <w:tcPr>
            <w:tcW w:w="3223"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cs="Calibri"/>
                <w:color w:val="000000"/>
                <w:kern w:val="0"/>
                <w:sz w:val="20"/>
                <w:szCs w:val="20"/>
                <w:lang w:eastAsia="pt-BR"/>
              </w:rPr>
            </w:pPr>
            <w:r>
              <w:rPr>
                <w:rFonts w:cs="Calibri" w:ascii="Verdana" w:hAnsi="Verdana"/>
                <w:color w:val="000000"/>
                <w:kern w:val="0"/>
                <w:sz w:val="20"/>
                <w:szCs w:val="20"/>
                <w:lang w:eastAsia="pt-BR"/>
              </w:rPr>
            </w:r>
          </w:p>
        </w:tc>
      </w:tr>
    </w:tbl>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br/>
      </w:r>
      <w:r>
        <w:rPr>
          <w:rFonts w:ascii="Verdana" w:hAnsi="Verdana"/>
          <w:color w:themeColor="text1" w:val="000000"/>
          <w:sz w:val="20"/>
          <w:szCs w:val="20"/>
        </w:rPr>
        <w:t>O município dispõe também de 50 pontos de interligação entre os diversos departamentos da administração pública, garantindo comunicação ágil e integração dos sistemas internos. Além disso, conta com 8 pontos de acesso de Wi-Fi público e coletivo, instalados em locais estratégicos como praças e espaços de convivência, facilitando o acesso gratuito à internet para a população.</w:t>
      </w:r>
    </w:p>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ascii="Verdana" w:hAnsi="Verdana"/>
          <w:sz w:val="20"/>
          <w:szCs w:val="20"/>
        </w:rPr>
      </w:r>
    </w:p>
    <w:tbl>
      <w:tblPr>
        <w:tblStyle w:val="8"/>
        <w:tblW w:w="9757" w:type="dxa"/>
        <w:jc w:val="left"/>
        <w:tblInd w:w="75" w:type="dxa"/>
        <w:tblLayout w:type="fixed"/>
        <w:tblCellMar>
          <w:top w:w="0" w:type="dxa"/>
          <w:left w:w="70" w:type="dxa"/>
          <w:bottom w:w="0" w:type="dxa"/>
          <w:right w:w="70" w:type="dxa"/>
        </w:tblCellMar>
      </w:tblPr>
      <w:tblGrid>
        <w:gridCol w:w="789"/>
        <w:gridCol w:w="5874"/>
        <w:gridCol w:w="3094"/>
      </w:tblGrid>
      <w:tr>
        <w:trPr>
          <w:trHeight w:val="270" w:hRule="atLeast"/>
        </w:trPr>
        <w:tc>
          <w:tcPr>
            <w:tcW w:w="789"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5874"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3094"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Prefeitura Municipal de São Gabriel da Palha</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(-19.020629, -40.532858)</w:t>
            </w:r>
          </w:p>
        </w:tc>
      </w:tr>
      <w:tr>
        <w:trPr>
          <w:trHeight w:val="6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CRAS</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(-19.029224, -40.529888)</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Garagem da Prefeitura</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(-19.020629, -40.532858)</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Conselho Tutelar</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(-19.020629, -40.532858)</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Casa da Acolhida</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(-19.016125, -40.540379)</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CREAS</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(-19.029288, -40.529853)</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Rodoviária / Junta Militar</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(-19.018792, -40.535027)</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8</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Tiro de Guerra</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(-19.031349, -40.539425)</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9</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SAMU e Bombeiros</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(-19.031212, -40.541285)</w:t>
            </w:r>
          </w:p>
        </w:tc>
      </w:tr>
      <w:tr>
        <w:trPr>
          <w:trHeight w:val="270"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10</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Ponto ao lado da Prefeitura (TI)</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(-19.020198, -40.532840)</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11</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Departamento de Trânsito Municipal</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(-19.020529, -40.534161)</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12</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CASP</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(-19.019942, -40.534157)</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13</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Secretaria de Assistência Social</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(-19.020011, -40.533684)</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14</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Instituto Previdenciário Municipal</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(-19.030035, -40.529470)</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15</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Polícia Civil</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(-19.019940, -40.535946)</w:t>
            </w:r>
          </w:p>
        </w:tc>
      </w:tr>
      <w:tr>
        <w:trPr>
          <w:trHeight w:val="41"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16</w:t>
            </w:r>
          </w:p>
        </w:tc>
        <w:tc>
          <w:tcPr>
            <w:tcW w:w="5874"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Polícia Militar</w:t>
            </w:r>
          </w:p>
        </w:tc>
        <w:tc>
          <w:tcPr>
            <w:tcW w:w="309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(-19.018824, -40.535397)</w:t>
            </w:r>
          </w:p>
        </w:tc>
      </w:tr>
    </w:tbl>
    <w:p>
      <w:pPr>
        <w:pStyle w:val="ListParagraph"/>
        <w:widowControl w:val="false"/>
        <w:tabs>
          <w:tab w:val="clear" w:pos="708"/>
          <w:tab w:val="left" w:pos="-2410" w:leader="none"/>
          <w:tab w:val="left" w:pos="567" w:leader="none"/>
        </w:tabs>
        <w:spacing w:lineRule="auto" w:line="240" w:before="0" w:after="0"/>
        <w:ind w:left="0"/>
        <w:contextualSpacing/>
        <w:jc w:val="both"/>
        <w:rPr>
          <w:rFonts w:ascii="Verdana" w:hAnsi="Verdana"/>
          <w:sz w:val="20"/>
          <w:szCs w:val="20"/>
        </w:rPr>
      </w:pPr>
      <w:r>
        <w:rPr>
          <w:rFonts w:cs="Arial" w:ascii="Verdana" w:hAnsi="Verdana"/>
          <w:color w:val="000000"/>
          <w:sz w:val="20"/>
          <w:szCs w:val="20"/>
        </w:rPr>
        <w:br/>
      </w:r>
    </w:p>
    <w:tbl>
      <w:tblPr>
        <w:tblStyle w:val="8"/>
        <w:tblW w:w="9767" w:type="dxa"/>
        <w:jc w:val="left"/>
        <w:tblInd w:w="75" w:type="dxa"/>
        <w:tblLayout w:type="fixed"/>
        <w:tblCellMar>
          <w:top w:w="0" w:type="dxa"/>
          <w:left w:w="70" w:type="dxa"/>
          <w:bottom w:w="0" w:type="dxa"/>
          <w:right w:w="70" w:type="dxa"/>
        </w:tblCellMar>
      </w:tblPr>
      <w:tblGrid>
        <w:gridCol w:w="789"/>
        <w:gridCol w:w="5880"/>
        <w:gridCol w:w="3098"/>
      </w:tblGrid>
      <w:tr>
        <w:trPr>
          <w:trHeight w:val="245" w:hRule="atLeast"/>
        </w:trPr>
        <w:tc>
          <w:tcPr>
            <w:tcW w:w="789"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5880"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3098"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Secretaria Municipal de Educação</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(-19.020522, -40.532690)</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Pequeno Príncipe</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(-19.040828, -40.542237)</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Bertolo Malacarne</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(-19.041114, -40.541747)</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EMEIEF João Gabriel</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(-19.033392, -40.541648)</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Violanda Fracalossi Galetti</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(-19.023902, -40.536401)</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EMEFTI Bem Viver</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(-19.030455, -40.529644)</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Irmã Adelaide Bertocchi</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(-19.021413, -40.535600)</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8</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Merenda Escolar</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(-19.022208, -40.535848)</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9</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Professora Maria Celeste Torezani Storch</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(-19.021465, -40.537230)</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10</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PEM Chapeuzinho Vermelho</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(-19.017527, -40.535999)</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11</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Professor Carlos Dias Miranda Cunha</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(-19.015488, -40.540717)</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12</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Mercedes Gomes de Oliveira (Creche São Sebastião)</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(-19.019697, -40.540493)</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13</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Vovó Zefa</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(-19.008974, -40.539641)</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14</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EMEF Professora Anna Cavatti Colombi</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(-19.006647, -40.539615)</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15</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Luciana Glazar Pinaffo</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(-18.999772, -40.534056)</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16</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Dona Neca</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(-19.030681, -40.534850)</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17</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Vila Fartura</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(-18.904313, -40.448546)</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EMEIEF Vila Fartura</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(-18.905910, -40.451714)</w:t>
            </w:r>
          </w:p>
        </w:tc>
      </w:tr>
      <w:tr>
        <w:trPr>
          <w:trHeight w:val="245" w:hRule="atLeast"/>
        </w:trPr>
        <w:tc>
          <w:tcPr>
            <w:tcW w:w="789"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w:t>
            </w:r>
          </w:p>
        </w:tc>
        <w:tc>
          <w:tcPr>
            <w:tcW w:w="5880"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EEUEF Córrego Bley</w:t>
            </w:r>
          </w:p>
        </w:tc>
        <w:tc>
          <w:tcPr>
            <w:tcW w:w="3098"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(-19.027444, -40.479232)</w:t>
            </w:r>
          </w:p>
        </w:tc>
      </w:tr>
    </w:tbl>
    <w:p>
      <w:pPr>
        <w:pStyle w:val="Normal"/>
        <w:spacing w:lineRule="auto" w:line="240" w:before="0" w:after="0"/>
        <w:contextualSpacing/>
        <w:jc w:val="both"/>
        <w:rPr>
          <w:rFonts w:ascii="Verdana" w:hAnsi="Verdana"/>
          <w:sz w:val="20"/>
          <w:szCs w:val="20"/>
        </w:rPr>
      </w:pPr>
      <w:r>
        <w:rPr>
          <w:rFonts w:eastAsia="Arial" w:cs="Arial" w:ascii="Verdana" w:hAnsi="Verdana"/>
          <w:b/>
          <w:bCs/>
          <w:sz w:val="20"/>
          <w:szCs w:val="20"/>
        </w:rPr>
        <w:br/>
      </w:r>
    </w:p>
    <w:tbl>
      <w:tblPr>
        <w:tblStyle w:val="8"/>
        <w:tblW w:w="9760" w:type="dxa"/>
        <w:jc w:val="left"/>
        <w:tblInd w:w="75" w:type="dxa"/>
        <w:tblLayout w:type="fixed"/>
        <w:tblCellMar>
          <w:top w:w="0" w:type="dxa"/>
          <w:left w:w="70" w:type="dxa"/>
          <w:bottom w:w="0" w:type="dxa"/>
          <w:right w:w="70" w:type="dxa"/>
        </w:tblCellMar>
      </w:tblPr>
      <w:tblGrid>
        <w:gridCol w:w="789"/>
        <w:gridCol w:w="5876"/>
        <w:gridCol w:w="3095"/>
      </w:tblGrid>
      <w:tr>
        <w:trPr>
          <w:trHeight w:val="245" w:hRule="atLeast"/>
        </w:trPr>
        <w:tc>
          <w:tcPr>
            <w:tcW w:w="789"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5876"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3095"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Secretaria Municipal de Saúde</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(-19.014470, -40.538078)</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Córrego da Onça (Therezinha M. T. Canal)</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(-19.042248, -40.540813)</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Vila Comboni</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(-19.028984, -40.529945)</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Centro</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(-19.020176, -40.533233)</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Casa da Mulher</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(-19.014436, -40.538499)</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CAPS</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(-19.015552, -40.538121)</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Farmácia Municipal</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(-19.020581, -40.533700)</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8</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Progresso</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(-19.009803, -40.542347)</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9</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Boa Vista / Santa Helena</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(-19.005612, -40.538912)</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10</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São Sebastião</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(-19.018844, -40.541746)</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11</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Laboratório Municipal de Análises Clínicas</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(-19.020379, -40.534063)</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12</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Hospital Municipal de São Gabriel da Palha</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(-19.020338, -40.533238)</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13</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São Roque da Terra Roxa</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(-18.911672, -40.507895)</w:t>
            </w:r>
          </w:p>
        </w:tc>
      </w:tr>
      <w:tr>
        <w:trPr>
          <w:trHeight w:val="245" w:hRule="atLeast"/>
        </w:trPr>
        <w:tc>
          <w:tcPr>
            <w:tcW w:w="78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14</w:t>
            </w:r>
          </w:p>
        </w:tc>
        <w:tc>
          <w:tcPr>
            <w:tcW w:w="587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ESF Vila Fartura</w:t>
            </w:r>
          </w:p>
        </w:tc>
        <w:tc>
          <w:tcPr>
            <w:tcW w:w="309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(-18.905778, -40.448669)</w:t>
            </w:r>
          </w:p>
        </w:tc>
      </w:tr>
    </w:tbl>
    <w:p>
      <w:pPr>
        <w:pStyle w:val="Normal"/>
        <w:spacing w:lineRule="auto" w:line="240" w:before="0" w:after="0"/>
        <w:contextualSpacing/>
        <w:jc w:val="both"/>
        <w:rPr>
          <w:rFonts w:ascii="Verdana" w:hAnsi="Verdana"/>
          <w:sz w:val="20"/>
          <w:szCs w:val="20"/>
        </w:rPr>
      </w:pPr>
      <w:r>
        <w:rPr>
          <w:rFonts w:ascii="Verdana" w:hAnsi="Verdana"/>
          <w:sz w:val="20"/>
          <w:szCs w:val="20"/>
        </w:rPr>
      </w:r>
    </w:p>
    <w:tbl>
      <w:tblPr>
        <w:tblStyle w:val="8"/>
        <w:tblW w:w="9777" w:type="dxa"/>
        <w:jc w:val="left"/>
        <w:tblInd w:w="75" w:type="dxa"/>
        <w:tblLayout w:type="fixed"/>
        <w:tblCellMar>
          <w:top w:w="0" w:type="dxa"/>
          <w:left w:w="70" w:type="dxa"/>
          <w:bottom w:w="0" w:type="dxa"/>
          <w:right w:w="70" w:type="dxa"/>
        </w:tblCellMar>
      </w:tblPr>
      <w:tblGrid>
        <w:gridCol w:w="794"/>
        <w:gridCol w:w="5957"/>
        <w:gridCol w:w="3026"/>
      </w:tblGrid>
      <w:tr>
        <w:trPr>
          <w:trHeight w:val="254" w:hRule="atLeast"/>
        </w:trPr>
        <w:tc>
          <w:tcPr>
            <w:tcW w:w="794"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5957" w:type="dxa"/>
            <w:tcBorders>
              <w:top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3026"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254" w:hRule="atLeast"/>
        </w:trPr>
        <w:tc>
          <w:tcPr>
            <w:tcW w:w="79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595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Dona Neca</w:t>
            </w:r>
          </w:p>
        </w:tc>
        <w:tc>
          <w:tcPr>
            <w:tcW w:w="3026" w:type="dxa"/>
            <w:tcBorders>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(-19.030681, -40.534850)</w:t>
            </w:r>
          </w:p>
        </w:tc>
      </w:tr>
      <w:tr>
        <w:trPr>
          <w:trHeight w:val="254" w:hRule="atLeast"/>
        </w:trPr>
        <w:tc>
          <w:tcPr>
            <w:tcW w:w="79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5957" w:type="dxa"/>
            <w:tcBorders>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Rotatória Centro</w:t>
            </w:r>
          </w:p>
        </w:tc>
        <w:tc>
          <w:tcPr>
            <w:tcW w:w="3026" w:type="dxa"/>
            <w:tcBorders>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(-19.019947, -40.534891)</w:t>
            </w:r>
          </w:p>
        </w:tc>
      </w:tr>
      <w:tr>
        <w:trPr>
          <w:trHeight w:val="254" w:hRule="atLeast"/>
        </w:trPr>
        <w:tc>
          <w:tcPr>
            <w:tcW w:w="79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5957" w:type="dxa"/>
            <w:tcBorders>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Polícia Militar</w:t>
            </w:r>
          </w:p>
        </w:tc>
        <w:tc>
          <w:tcPr>
            <w:tcW w:w="3026" w:type="dxa"/>
            <w:tcBorders>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(-19.018930, -40.535367)</w:t>
            </w:r>
          </w:p>
        </w:tc>
      </w:tr>
      <w:tr>
        <w:trPr>
          <w:trHeight w:val="254" w:hRule="atLeast"/>
        </w:trPr>
        <w:tc>
          <w:tcPr>
            <w:tcW w:w="79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5957" w:type="dxa"/>
            <w:tcBorders>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Praça Vicente Glazar - Prefeitura</w:t>
            </w:r>
          </w:p>
        </w:tc>
        <w:tc>
          <w:tcPr>
            <w:tcW w:w="3026" w:type="dxa"/>
            <w:tcBorders>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(-19.020533, -40.532885)</w:t>
            </w:r>
          </w:p>
        </w:tc>
      </w:tr>
      <w:tr>
        <w:trPr>
          <w:trHeight w:val="254" w:hRule="atLeast"/>
        </w:trPr>
        <w:tc>
          <w:tcPr>
            <w:tcW w:w="79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5957" w:type="dxa"/>
            <w:tcBorders>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Praça Aurélio Bastianello</w:t>
            </w:r>
          </w:p>
        </w:tc>
        <w:tc>
          <w:tcPr>
            <w:tcW w:w="3026" w:type="dxa"/>
            <w:tcBorders>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(-19.016742, -40.537266)</w:t>
            </w:r>
          </w:p>
        </w:tc>
      </w:tr>
      <w:tr>
        <w:trPr>
          <w:trHeight w:val="254" w:hRule="atLeast"/>
        </w:trPr>
        <w:tc>
          <w:tcPr>
            <w:tcW w:w="79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595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Praça Cricaré</w:t>
            </w:r>
          </w:p>
        </w:tc>
        <w:tc>
          <w:tcPr>
            <w:tcW w:w="3026"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(-19.018530, -40.536585)</w:t>
            </w:r>
          </w:p>
        </w:tc>
      </w:tr>
      <w:tr>
        <w:trPr>
          <w:trHeight w:val="254" w:hRule="atLeast"/>
        </w:trPr>
        <w:tc>
          <w:tcPr>
            <w:tcW w:w="794"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5957" w:type="dxa"/>
            <w:tcBorders>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Casa da Mulher</w:t>
            </w:r>
          </w:p>
        </w:tc>
        <w:tc>
          <w:tcPr>
            <w:tcW w:w="3026" w:type="dxa"/>
            <w:tcBorders>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(-19.014396, -40.538530)</w:t>
            </w:r>
          </w:p>
        </w:tc>
      </w:tr>
      <w:tr>
        <w:trPr>
          <w:trHeight w:val="254" w:hRule="atLeast"/>
        </w:trPr>
        <w:tc>
          <w:tcPr>
            <w:tcW w:w="794" w:type="dxa"/>
            <w:tcBorders>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8</w:t>
            </w:r>
          </w:p>
        </w:tc>
        <w:tc>
          <w:tcPr>
            <w:tcW w:w="5957"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CMEI Vovó Zefa</w:t>
            </w:r>
          </w:p>
        </w:tc>
        <w:tc>
          <w:tcPr>
            <w:tcW w:w="3026" w:type="dxa"/>
            <w:tcBorders>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(-19.009010, -40.539783)</w:t>
            </w:r>
          </w:p>
        </w:tc>
      </w:tr>
    </w:tbl>
    <w:p>
      <w:pPr>
        <w:pStyle w:val="Normal"/>
        <w:spacing w:lineRule="auto" w:line="240" w:before="0" w:after="0"/>
        <w:contextualSpacing/>
        <w:jc w:val="both"/>
        <w:rPr>
          <w:rFonts w:ascii="Verdana" w:hAnsi="Verdana"/>
          <w:sz w:val="20"/>
          <w:szCs w:val="20"/>
        </w:rPr>
      </w:pPr>
      <w:r>
        <w:rPr>
          <w:rFonts w:eastAsia="Arial" w:cs="Arial" w:ascii="Verdana" w:hAnsi="Verdana"/>
          <w:b/>
          <w:bCs/>
          <w:sz w:val="20"/>
          <w:szCs w:val="20"/>
        </w:rPr>
        <w:br/>
        <w:t>5.3.</w:t>
      </w:r>
      <w:r>
        <w:rPr>
          <w:rFonts w:eastAsia="Arial" w:cs="Arial" w:ascii="Verdana" w:hAnsi="Verdana"/>
          <w:sz w:val="20"/>
          <w:szCs w:val="20"/>
        </w:rPr>
        <w:t xml:space="preserve"> Diante da necessidade acima, iniciou-se o presente Estudo Técnico Preliminar por meio do qual será possível decidir qual é a melhor solução.</w:t>
      </w:r>
    </w:p>
    <w:p>
      <w:pPr>
        <w:pStyle w:val="ListParagraph"/>
        <w:spacing w:lineRule="auto" w:line="240" w:before="0" w:after="0"/>
        <w:ind w:left="0"/>
        <w:contextualSpacing/>
        <w:jc w:val="both"/>
        <w:rPr>
          <w:rFonts w:ascii="Verdana" w:hAnsi="Verdana" w:eastAsia="Arial" w:cs="Arial"/>
          <w:sz w:val="20"/>
          <w:szCs w:val="20"/>
        </w:rPr>
      </w:pPr>
      <w:r>
        <w:rPr>
          <w:rFonts w:eastAsia="Arial" w:cs="Arial" w:ascii="Verdana" w:hAnsi="Verdana"/>
          <w:sz w:val="20"/>
          <w:szCs w:val="20"/>
        </w:rPr>
      </w:r>
    </w:p>
    <w:p>
      <w:pPr>
        <w:pStyle w:val="Normal"/>
        <w:spacing w:lineRule="auto" w:line="240"/>
        <w:rPr>
          <w:rFonts w:ascii="Verdana" w:hAnsi="Verdana"/>
          <w:sz w:val="20"/>
          <w:szCs w:val="20"/>
        </w:rPr>
      </w:pPr>
      <w:r>
        <w:rPr>
          <w:rFonts w:cs="Arial" w:ascii="Verdana" w:hAnsi="Verdana"/>
          <w:b/>
          <w:iCs/>
          <w:sz w:val="20"/>
          <w:szCs w:val="20"/>
        </w:rPr>
        <w:t>6. ÁREA REQUISITANTE</w:t>
      </w:r>
    </w:p>
    <w:p>
      <w:pPr>
        <w:pStyle w:val="Normal"/>
        <w:spacing w:lineRule="auto" w:line="240"/>
        <w:rPr>
          <w:rFonts w:ascii="Verdana" w:hAnsi="Verdana"/>
          <w:sz w:val="20"/>
          <w:szCs w:val="20"/>
        </w:rPr>
      </w:pPr>
      <w:r>
        <w:rPr>
          <w:rFonts w:eastAsia="Arial" w:cs="Arial" w:ascii="Verdana" w:hAnsi="Verdana"/>
          <w:sz w:val="20"/>
          <w:szCs w:val="20"/>
        </w:rPr>
        <w:t>Secretaria Municipal de Administração</w:t>
      </w:r>
    </w:p>
    <w:p>
      <w:pPr>
        <w:pStyle w:val="Normal"/>
        <w:spacing w:lineRule="auto" w:line="240"/>
        <w:rPr>
          <w:rFonts w:ascii="Verdana" w:hAnsi="Verdana"/>
          <w:sz w:val="20"/>
          <w:szCs w:val="20"/>
        </w:rPr>
      </w:pPr>
      <w:r>
        <w:rPr>
          <w:rFonts w:ascii="Verdana" w:hAnsi="Verdana"/>
          <w:sz w:val="20"/>
          <w:szCs w:val="20"/>
        </w:rPr>
        <w:t>Secretaria Municipal de Educação</w:t>
      </w:r>
    </w:p>
    <w:p>
      <w:pPr>
        <w:pStyle w:val="Normal"/>
        <w:spacing w:lineRule="auto" w:line="240"/>
        <w:rPr>
          <w:rFonts w:ascii="Verdana" w:hAnsi="Verdana"/>
          <w:sz w:val="20"/>
          <w:szCs w:val="20"/>
        </w:rPr>
      </w:pPr>
      <w:r>
        <w:rPr>
          <w:rFonts w:ascii="Verdana" w:hAnsi="Verdana"/>
          <w:sz w:val="20"/>
          <w:szCs w:val="20"/>
        </w:rPr>
        <w:t>Secretaria Municipal de Saúde</w:t>
      </w:r>
    </w:p>
    <w:p>
      <w:pPr>
        <w:pStyle w:val="Normal"/>
        <w:spacing w:lineRule="auto" w:line="240"/>
        <w:rPr>
          <w:rFonts w:ascii="Verdana" w:hAnsi="Verdana"/>
          <w:sz w:val="20"/>
          <w:szCs w:val="20"/>
        </w:rPr>
      </w:pPr>
      <w:r>
        <w:rPr>
          <w:rFonts w:ascii="Verdana" w:hAnsi="Verdana"/>
          <w:sz w:val="20"/>
          <w:szCs w:val="20"/>
        </w:rPr>
        <w:t>Secretaria Municipal de Serviços Urbanos</w:t>
      </w:r>
    </w:p>
    <w:p>
      <w:pPr>
        <w:pStyle w:val="Normal"/>
        <w:spacing w:lineRule="auto" w:line="240"/>
        <w:rPr>
          <w:rFonts w:ascii="Verdana" w:hAnsi="Verdana"/>
          <w:sz w:val="20"/>
          <w:szCs w:val="20"/>
        </w:rPr>
      </w:pPr>
      <w:r>
        <w:rPr>
          <w:rFonts w:ascii="Verdana" w:hAnsi="Verdana"/>
          <w:sz w:val="20"/>
          <w:szCs w:val="20"/>
        </w:rPr>
        <w:t>Secretaria Municipal de Assistência Social</w:t>
      </w:r>
    </w:p>
    <w:p>
      <w:pPr>
        <w:pStyle w:val="Normal"/>
        <w:spacing w:lineRule="auto" w:line="240"/>
        <w:ind w:left="405"/>
        <w:jc w:val="both"/>
        <w:rPr>
          <w:rFonts w:ascii="Verdana" w:hAnsi="Verdana"/>
          <w:sz w:val="20"/>
          <w:szCs w:val="20"/>
        </w:rPr>
      </w:pPr>
      <w:r>
        <w:rPr>
          <w:rFonts w:ascii="Verdana" w:hAnsi="Verdana"/>
          <w:sz w:val="20"/>
          <w:szCs w:val="20"/>
        </w:rPr>
      </w:r>
    </w:p>
    <w:p>
      <w:pPr>
        <w:pStyle w:val="Normal"/>
        <w:suppressAutoHyphens w:val="false"/>
        <w:spacing w:lineRule="auto" w:line="240"/>
        <w:jc w:val="both"/>
        <w:rPr>
          <w:rFonts w:ascii="Verdana" w:hAnsi="Verdana"/>
          <w:sz w:val="20"/>
          <w:szCs w:val="20"/>
        </w:rPr>
      </w:pPr>
      <w:r>
        <w:rPr>
          <w:rFonts w:cs="Arial" w:ascii="Verdana" w:hAnsi="Verdana"/>
          <w:b/>
          <w:sz w:val="20"/>
          <w:szCs w:val="20"/>
        </w:rPr>
        <w:t>7. DESCRIÇÃO DA DEMANDA E ESTIMATIVA DS QUANTIDADES</w:t>
      </w:r>
    </w:p>
    <w:p>
      <w:pPr>
        <w:pStyle w:val="Normal"/>
        <w:suppressAutoHyphens w:val="false"/>
        <w:spacing w:lineRule="auto" w:line="240"/>
        <w:jc w:val="both"/>
        <w:rPr>
          <w:rFonts w:ascii="Verdana" w:hAnsi="Verdana"/>
          <w:sz w:val="20"/>
          <w:szCs w:val="20"/>
        </w:rPr>
      </w:pPr>
      <w:r>
        <w:rPr>
          <w:rFonts w:cs="Arial" w:ascii="Verdana" w:hAnsi="Verdana"/>
          <w:b/>
          <w:sz w:val="20"/>
          <w:szCs w:val="20"/>
        </w:rPr>
        <w:t xml:space="preserve">7.1. </w:t>
      </w:r>
      <w:r>
        <w:rPr>
          <w:rFonts w:cs="Calibri" w:ascii="Verdana" w:hAnsi="Verdana"/>
          <w:sz w:val="20"/>
          <w:szCs w:val="20"/>
        </w:rPr>
        <w:t>No perímetro urbano do município, identificou-se que alguns bairros ainda não contam com cobertura de câmeras de videomonitoramento nem com pontos de acesso gratuito à internet via Wi-Fi. São eles: Cachoeira da Onça, Santa Terezinha, Gustavo Boni, Nossa Senhora Aparecida, Asa Branca, Jardim Vitória I, II e III, Santa Helena e Pôr do Sol. Para suprir essa demanda, está prevista a instalação de, no mínimo, 10 pontos de monitoramento e 2 pontos de acesso Wi-Fi gratuito em cada um desses bairros, visando ampliar a segurança pública e promover a inclusão digital da população local.</w:t>
      </w:r>
    </w:p>
    <w:p>
      <w:pPr>
        <w:pStyle w:val="Normal"/>
        <w:suppressAutoHyphens w:val="false"/>
        <w:spacing w:lineRule="auto" w:line="240"/>
        <w:jc w:val="both"/>
        <w:rPr>
          <w:rFonts w:ascii="Verdana" w:hAnsi="Verdana" w:cs="Calibri"/>
          <w:sz w:val="20"/>
          <w:szCs w:val="20"/>
        </w:rPr>
      </w:pPr>
      <w:r>
        <w:rPr>
          <w:rFonts w:cs="Calibri" w:ascii="Verdana" w:hAnsi="Verdana"/>
          <w:sz w:val="20"/>
          <w:szCs w:val="20"/>
        </w:rPr>
      </w:r>
    </w:p>
    <w:tbl>
      <w:tblPr>
        <w:tblStyle w:val="22"/>
        <w:tblW w:w="9918" w:type="dxa"/>
        <w:jc w:val="left"/>
        <w:tblInd w:w="38" w:type="dxa"/>
        <w:tblLayout w:type="fixed"/>
        <w:tblCellMar>
          <w:top w:w="0" w:type="dxa"/>
          <w:left w:w="108" w:type="dxa"/>
          <w:bottom w:w="0" w:type="dxa"/>
          <w:right w:w="108" w:type="dxa"/>
        </w:tblCellMar>
      </w:tblPr>
      <w:tblGrid>
        <w:gridCol w:w="9918"/>
      </w:tblGrid>
      <w:tr>
        <w:trPr/>
        <w:tc>
          <w:tcPr>
            <w:tcW w:w="9918" w:type="dxa"/>
            <w:tcBorders/>
          </w:tcPr>
          <w:p>
            <w:pPr>
              <w:pStyle w:val="Normal"/>
              <w:widowControl/>
              <w:suppressAutoHyphens w:val="false"/>
              <w:spacing w:lineRule="auto" w:line="240" w:before="0" w:after="0"/>
              <w:jc w:val="both"/>
              <w:rPr>
                <w:rFonts w:ascii="Verdana" w:hAnsi="Verdana"/>
                <w:kern w:val="0"/>
                <w:sz w:val="20"/>
                <w:szCs w:val="20"/>
              </w:rPr>
            </w:pPr>
            <w:r>
              <w:rPr>
                <w:rFonts w:ascii="Verdana" w:hAnsi="Verdana"/>
                <w:kern w:val="0"/>
                <w:sz w:val="20"/>
                <w:szCs w:val="20"/>
              </w:rPr>
              <w:drawing>
                <wp:inline distT="0" distB="0" distL="0" distR="0">
                  <wp:extent cx="6172835" cy="2293620"/>
                  <wp:effectExtent l="0" t="0" r="0" b="0"/>
                  <wp:docPr id="1" name="Imagem 1" descr="Mapa de cidade&#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Mapa de cidade&#10;&#10;O conteúdo gerado por IA pode estar incorreto."/>
                          <pic:cNvPicPr>
                            <a:picLocks noChangeAspect="1" noChangeArrowheads="1"/>
                          </pic:cNvPicPr>
                        </pic:nvPicPr>
                        <pic:blipFill>
                          <a:blip r:embed="rId2"/>
                          <a:stretch>
                            <a:fillRect/>
                          </a:stretch>
                        </pic:blipFill>
                        <pic:spPr bwMode="auto">
                          <a:xfrm>
                            <a:off x="0" y="0"/>
                            <a:ext cx="6172835" cy="2293620"/>
                          </a:xfrm>
                          <a:prstGeom prst="rect">
                            <a:avLst/>
                          </a:prstGeom>
                        </pic:spPr>
                      </pic:pic>
                    </a:graphicData>
                  </a:graphic>
                </wp:inline>
              </w:drawing>
            </w:r>
          </w:p>
        </w:tc>
      </w:tr>
      <w:tr>
        <w:trPr/>
        <w:tc>
          <w:tcPr>
            <w:tcW w:w="9918" w:type="dxa"/>
            <w:tcBorders/>
          </w:tcPr>
          <w:p>
            <w:pPr>
              <w:pStyle w:val="Normal"/>
              <w:widowControl/>
              <w:suppressAutoHyphens w:val="false"/>
              <w:spacing w:lineRule="auto" w:line="240" w:before="0" w:after="0"/>
              <w:jc w:val="both"/>
              <w:rPr>
                <w:rFonts w:ascii="Verdana" w:hAnsi="Verdana"/>
                <w:kern w:val="0"/>
                <w:sz w:val="20"/>
                <w:szCs w:val="20"/>
              </w:rPr>
            </w:pPr>
            <w:r>
              <w:rPr>
                <w:rFonts w:ascii="Verdana" w:hAnsi="Verdana"/>
                <w:kern w:val="0"/>
                <w:sz w:val="20"/>
                <w:szCs w:val="20"/>
              </w:rPr>
              <w:t>Polígono - Bairros com menor cobertura de Videomonitoramento.</w:t>
            </w:r>
          </w:p>
        </w:tc>
      </w:tr>
    </w:tbl>
    <w:p>
      <w:pPr>
        <w:pStyle w:val="Normal"/>
        <w:spacing w:lineRule="auto" w:line="240" w:before="240" w:after="160"/>
        <w:jc w:val="both"/>
        <w:rPr>
          <w:rFonts w:ascii="Verdana" w:hAnsi="Verdana"/>
          <w:sz w:val="20"/>
          <w:szCs w:val="20"/>
        </w:rPr>
      </w:pPr>
      <w:r>
        <w:rPr>
          <w:rFonts w:cs="Calibri" w:ascii="Verdana" w:hAnsi="Verdana"/>
          <w:sz w:val="20"/>
          <w:szCs w:val="20"/>
        </w:rPr>
        <w:t>Foi recebido, por meio de ofício produzido pelo serviço de Inteligência da Polícia Militar e referendado pela Guarda Municipal de São Gabriel da Palha, a solicitação de ampliação no sistema de videomonitoramento, com o aumento do número de câmaras instaladas, primariamente já foram apontados os seguintes pontos:</w:t>
      </w:r>
    </w:p>
    <w:tbl>
      <w:tblPr>
        <w:tblStyle w:val="8"/>
        <w:tblW w:w="9683" w:type="dxa"/>
        <w:jc w:val="left"/>
        <w:tblInd w:w="75" w:type="dxa"/>
        <w:tblLayout w:type="fixed"/>
        <w:tblCellMar>
          <w:top w:w="0" w:type="dxa"/>
          <w:left w:w="70" w:type="dxa"/>
          <w:bottom w:w="0" w:type="dxa"/>
          <w:right w:w="70" w:type="dxa"/>
        </w:tblCellMar>
      </w:tblPr>
      <w:tblGrid>
        <w:gridCol w:w="590"/>
        <w:gridCol w:w="4896"/>
        <w:gridCol w:w="1614"/>
        <w:gridCol w:w="2582"/>
      </w:tblGrid>
      <w:tr>
        <w:trPr>
          <w:trHeight w:val="168" w:hRule="atLeast"/>
        </w:trPr>
        <w:tc>
          <w:tcPr>
            <w:tcW w:w="590" w:type="dxa"/>
            <w:tcBorders>
              <w:top w:val="single" w:sz="4" w:space="0" w:color="000000"/>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w:t>
            </w:r>
          </w:p>
        </w:tc>
        <w:tc>
          <w:tcPr>
            <w:tcW w:w="4896" w:type="dxa"/>
            <w:tcBorders>
              <w:top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Nome do Local</w:t>
            </w:r>
          </w:p>
        </w:tc>
        <w:tc>
          <w:tcPr>
            <w:tcW w:w="1614" w:type="dxa"/>
            <w:tcBorders>
              <w:top w:val="single" w:sz="4" w:space="0" w:color="000000"/>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Quantidade</w:t>
            </w:r>
          </w:p>
        </w:tc>
        <w:tc>
          <w:tcPr>
            <w:tcW w:w="2582" w:type="dxa"/>
            <w:tcBorders>
              <w:top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168"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Avenida Licínio Libalde</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(-19.014318, -40.544865)</w:t>
            </w:r>
          </w:p>
        </w:tc>
      </w:tr>
      <w:tr>
        <w:trPr>
          <w:trHeight w:val="168"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Rodovia João Izoton Filho (Girassol)</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(-19.009196, -40.530582)</w:t>
            </w:r>
          </w:p>
        </w:tc>
      </w:tr>
      <w:tr>
        <w:trPr>
          <w:trHeight w:val="337"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Av. Antônio Ferreira da Fonseca – estrada de chão acesso ao Bairro João Colombi</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(-19.033725, -40.537973)</w:t>
            </w:r>
          </w:p>
        </w:tc>
      </w:tr>
      <w:tr>
        <w:trPr>
          <w:trHeight w:val="168"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Rodovia ES 137 (Rodovia do Café)</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(-18.994753, -40.531403)</w:t>
            </w:r>
          </w:p>
        </w:tc>
      </w:tr>
      <w:tr>
        <w:trPr>
          <w:trHeight w:val="168"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Estrada vicinal – saída para o Córrego Sete (AABB)</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(-19.005918, -40.540821)</w:t>
            </w:r>
          </w:p>
        </w:tc>
      </w:tr>
      <w:tr>
        <w:trPr>
          <w:trHeight w:val="168"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Cruzamento entre as Ruas Daniel Comboni e Silvino Marchesi</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(-19.026502, -40.530847)</w:t>
            </w:r>
          </w:p>
        </w:tc>
      </w:tr>
      <w:tr>
        <w:trPr>
          <w:trHeight w:val="337"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Rua Daniel Comboni, Bairro Vila Comboni – saída para o Córrego São Gabriel (próx. Escola SIBEV)</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(-19.030112, -40.529501)</w:t>
            </w:r>
          </w:p>
        </w:tc>
      </w:tr>
      <w:tr>
        <w:trPr>
          <w:trHeight w:val="168"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8</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Av. Francisco Rondelli, Bairro Cachoeira da Onça</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(-19.043712, -40.540549)</w:t>
            </w:r>
          </w:p>
        </w:tc>
      </w:tr>
      <w:tr>
        <w:trPr>
          <w:trHeight w:val="168"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9</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Rua São Francisco, Bairro Santa Terezinha</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(-19.032532, -40.542066)</w:t>
            </w:r>
          </w:p>
        </w:tc>
      </w:tr>
      <w:tr>
        <w:trPr>
          <w:trHeight w:val="168" w:hRule="atLeast"/>
        </w:trPr>
        <w:tc>
          <w:tcPr>
            <w:tcW w:w="590" w:type="dxa"/>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10</w:t>
            </w:r>
          </w:p>
        </w:tc>
        <w:tc>
          <w:tcPr>
            <w:tcW w:w="4896" w:type="dxa"/>
            <w:tcBorders>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Rua descendo as margens do Rio São José (Cobra)</w:t>
            </w:r>
          </w:p>
        </w:tc>
        <w:tc>
          <w:tcPr>
            <w:tcW w:w="1614"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2582" w:type="dxa"/>
            <w:tcBorders>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(-19.044233, -40.539757)</w:t>
            </w:r>
          </w:p>
        </w:tc>
      </w:tr>
      <w:tr>
        <w:trPr>
          <w:trHeight w:val="168" w:hRule="atLeast"/>
        </w:trPr>
        <w:tc>
          <w:tcPr>
            <w:tcW w:w="590" w:type="dxa"/>
            <w:tcBorders>
              <w:left w:val="single" w:sz="4" w:space="0" w:color="000000"/>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r>
          </w:p>
        </w:tc>
        <w:tc>
          <w:tcPr>
            <w:tcW w:w="4896"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Total</w:t>
            </w:r>
          </w:p>
        </w:tc>
        <w:tc>
          <w:tcPr>
            <w:tcW w:w="1614" w:type="dxa"/>
            <w:tcBorders>
              <w:bottom w:val="single" w:sz="4" w:space="0" w:color="000000"/>
              <w:right w:val="single" w:sz="4" w:space="0" w:color="000000"/>
            </w:tcBorders>
            <w:shd w:color="000000" w:fill="DAE9F8" w:val="clear"/>
            <w:vAlign w:val="bottom"/>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38</w:t>
            </w:r>
          </w:p>
        </w:tc>
        <w:tc>
          <w:tcPr>
            <w:tcW w:w="2582" w:type="dxa"/>
            <w:tcBorders>
              <w:bottom w:val="single" w:sz="4" w:space="0" w:color="000000"/>
              <w:right w:val="single" w:sz="4" w:space="0" w:color="000000"/>
            </w:tcBorders>
            <w:shd w:color="000000" w:fill="DAE9F8" w:val="clear"/>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r>
          </w:p>
        </w:tc>
      </w:tr>
    </w:tbl>
    <w:p>
      <w:pPr>
        <w:pStyle w:val="Normal"/>
        <w:spacing w:lineRule="auto" w:line="240" w:before="240" w:after="160"/>
        <w:jc w:val="both"/>
        <w:rPr>
          <w:rFonts w:ascii="Verdana" w:hAnsi="Verdana"/>
          <w:sz w:val="20"/>
          <w:szCs w:val="20"/>
        </w:rPr>
      </w:pPr>
      <w:r>
        <w:rPr>
          <w:rFonts w:cs="Calibri" w:ascii="Verdana" w:hAnsi="Verdana"/>
          <w:color w:themeColor="text1" w:val="000000"/>
          <w:sz w:val="20"/>
          <w:szCs w:val="20"/>
        </w:rPr>
        <w:t>As câmeras internas serão instaladas dentro dos prédios públicos na parte urbana do município inicialmente, o quantitativo total já inclui a futura e eventual ampliação para a zona rural do município, visando ampliar a segurança patrimonial, garantir a integridade das atividades administrativas e proteger os servidores e cidadãos que frequentam esses espaços.</w:t>
      </w:r>
    </w:p>
    <w:p>
      <w:pPr>
        <w:pStyle w:val="Normal"/>
        <w:spacing w:lineRule="auto" w:line="240" w:before="240" w:after="160"/>
        <w:jc w:val="both"/>
        <w:rPr>
          <w:rFonts w:ascii="Verdana" w:hAnsi="Verdana"/>
          <w:sz w:val="20"/>
          <w:szCs w:val="20"/>
        </w:rPr>
      </w:pPr>
      <w:r>
        <w:rPr>
          <w:rFonts w:cs="Calibri" w:ascii="Verdana" w:hAnsi="Verdana"/>
          <w:sz w:val="20"/>
          <w:szCs w:val="20"/>
        </w:rPr>
        <w:t>As localidades situadas na zona rural do município apresentam demanda crescente por serviços de conectividade e videomonitoramento. Essas regiões, apesar de sua relevância social e econômica, atualmente não contam com a infraestrutura da rede de fibra óptica que atende a sede e áreas centrais, o que limita a implementação de sistemas de comunicação de alta capacidade.</w:t>
      </w:r>
    </w:p>
    <w:tbl>
      <w:tblPr>
        <w:tblStyle w:val="8"/>
        <w:tblW w:w="9837" w:type="dxa"/>
        <w:jc w:val="left"/>
        <w:tblInd w:w="113" w:type="dxa"/>
        <w:tblLayout w:type="fixed"/>
        <w:tblCellMar>
          <w:top w:w="0" w:type="dxa"/>
          <w:left w:w="108" w:type="dxa"/>
          <w:bottom w:w="0" w:type="dxa"/>
          <w:right w:w="108" w:type="dxa"/>
        </w:tblCellMar>
      </w:tblPr>
      <w:tblGrid>
        <w:gridCol w:w="9837"/>
      </w:tblGrid>
      <w:tr>
        <w:trPr>
          <w:trHeight w:val="3504" w:hRule="atLeast"/>
        </w:trPr>
        <w:tc>
          <w:tcPr>
            <w:tcW w:w="9837"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drawing>
                <wp:inline distT="0" distB="0" distL="0" distR="0">
                  <wp:extent cx="3657600" cy="2877185"/>
                  <wp:effectExtent l="0" t="0" r="0" b="0"/>
                  <wp:docPr id="2" name="Figura2" descr="Map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descr="Mapa&#10;&#10;O conteúdo gerado por IA pode estar incorreto."/>
                          <pic:cNvPicPr>
                            <a:picLocks noChangeAspect="1" noChangeArrowheads="1"/>
                          </pic:cNvPicPr>
                        </pic:nvPicPr>
                        <pic:blipFill>
                          <a:blip r:embed="rId3"/>
                          <a:stretch>
                            <a:fillRect/>
                          </a:stretch>
                        </pic:blipFill>
                        <pic:spPr bwMode="auto">
                          <a:xfrm>
                            <a:off x="0" y="0"/>
                            <a:ext cx="3657600" cy="2877185"/>
                          </a:xfrm>
                          <a:prstGeom prst="rect">
                            <a:avLst/>
                          </a:prstGeom>
                        </pic:spPr>
                      </pic:pic>
                    </a:graphicData>
                  </a:graphic>
                </wp:inline>
              </w:drawing>
            </w:r>
          </w:p>
        </w:tc>
      </w:tr>
      <w:tr>
        <w:trPr>
          <w:trHeight w:val="161" w:hRule="atLeast"/>
        </w:trPr>
        <w:tc>
          <w:tcPr>
            <w:tcW w:w="9837" w:type="dxa"/>
            <w:tcBorders>
              <w:top w:val="single" w:sz="4" w:space="0" w:color="000000"/>
              <w:left w:val="single" w:sz="4" w:space="0" w:color="000000"/>
              <w:bottom w:val="single" w:sz="4" w:space="0" w:color="000000"/>
              <w:right w:val="single" w:sz="4" w:space="0" w:color="000000"/>
            </w:tcBorders>
          </w:tcPr>
          <w:p>
            <w:pPr>
              <w:pStyle w:val="Normal"/>
              <w:widowControl w:val="false"/>
              <w:spacing w:lineRule="auto" w:line="240" w:before="0" w:after="0"/>
              <w:jc w:val="center"/>
              <w:rPr>
                <w:rFonts w:ascii="Verdana" w:hAnsi="Verdana"/>
                <w:kern w:val="0"/>
                <w:sz w:val="20"/>
                <w:szCs w:val="20"/>
              </w:rPr>
            </w:pPr>
            <w:r>
              <w:rPr>
                <w:rFonts w:eastAsia="Aptos" w:cs="Calibri" w:ascii="Verdana" w:hAnsi="Verdana"/>
                <w:color w:themeColor="text1" w:val="000000"/>
                <w:kern w:val="2"/>
                <w:sz w:val="20"/>
                <w:szCs w:val="20"/>
                <w:lang w:eastAsia="en-US"/>
              </w:rPr>
              <w:t>Fonte: IJSN – Zona Rural – São Gabriel da Palha - ES</w:t>
            </w:r>
          </w:p>
        </w:tc>
      </w:tr>
    </w:tbl>
    <w:p>
      <w:pPr>
        <w:pStyle w:val="Normal"/>
        <w:spacing w:lineRule="auto" w:line="240" w:before="240" w:after="160"/>
        <w:jc w:val="both"/>
        <w:rPr>
          <w:rFonts w:ascii="Verdana" w:hAnsi="Verdana"/>
          <w:sz w:val="20"/>
          <w:szCs w:val="20"/>
        </w:rPr>
      </w:pPr>
      <w:r>
        <w:rPr>
          <w:rFonts w:cs="Calibri" w:ascii="Verdana" w:hAnsi="Verdana"/>
          <w:sz w:val="20"/>
          <w:szCs w:val="20"/>
        </w:rPr>
        <w:t>Há solicitações da Secretária de Saúde, Educação e Assistência Social já registradas para instalação de pontos de acesso à internet nessas comunidades, visando ampliar a inclusão digital, facilitar a comunicação entre os órgãos municipais e oferecer serviços essenciais à população local. A implantação de soluções de conectividade por meio de redes 4G/5G se apresenta como alternativa viável e de rápida implementação, permitindo atender tanto a necessidade de internet pública e institucional quanto a expansão do videomonitoramento para a zona rural.</w:t>
      </w:r>
    </w:p>
    <w:tbl>
      <w:tblPr>
        <w:tblStyle w:val="8"/>
        <w:tblW w:w="9755" w:type="dxa"/>
        <w:jc w:val="left"/>
        <w:tblInd w:w="75" w:type="dxa"/>
        <w:tblLayout w:type="fixed"/>
        <w:tblCellMar>
          <w:top w:w="0" w:type="dxa"/>
          <w:left w:w="70" w:type="dxa"/>
          <w:bottom w:w="0" w:type="dxa"/>
          <w:right w:w="70" w:type="dxa"/>
        </w:tblCellMar>
      </w:tblPr>
      <w:tblGrid>
        <w:gridCol w:w="1212"/>
        <w:gridCol w:w="3652"/>
        <w:gridCol w:w="4891"/>
      </w:tblGrid>
      <w:tr>
        <w:trPr>
          <w:trHeight w:val="245" w:hRule="atLeast"/>
        </w:trPr>
        <w:tc>
          <w:tcPr>
            <w:tcW w:w="1212"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Nº</w:t>
            </w:r>
          </w:p>
        </w:tc>
        <w:tc>
          <w:tcPr>
            <w:tcW w:w="3652"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Local</w:t>
            </w:r>
          </w:p>
        </w:tc>
        <w:tc>
          <w:tcPr>
            <w:tcW w:w="4891" w:type="dxa"/>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b/>
                <w:bCs/>
                <w:color w:val="000000"/>
                <w:kern w:val="0"/>
                <w:sz w:val="20"/>
                <w:szCs w:val="20"/>
                <w:lang w:eastAsia="pt-BR"/>
              </w:rPr>
              <w:t>Coordenadas</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Córrego Comprido</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-19.02867394839904, -40.51112237340324</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2</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São Roque da Terra Roxa</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-18.91160587539347, -40.50751394088991</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3</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Córrego do Sete</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-18.99003350124768, -40.57213223894431</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4</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Rancho Alto</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-18.97229749199523, -40.62929470050623</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5</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São Sebastião da Barra Seca</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-18.9103058245309, -40.58418749233424</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6</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Patrimônio São José</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-19.03937620244952, -40.61583357019214</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7</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Castelan</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-19.0469934041835, -40.49157431432607</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8</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Córrego Bley</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-19.0136378446097, -40.47478964096323</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9</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Fartura</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-18.90361930230041, -40.44807559615008</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10</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Farturinha</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-18.91714957557758, -40.46580185164393</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11</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General Rondon</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-18.89603018983376, -40.48191381105309</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12</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Patrimonio Lovo</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-18.94552970984191, -40.48485029494397</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13</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Córrego da Lapa</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-18.91912936686999, -40.56332194045496</w:t>
            </w:r>
          </w:p>
        </w:tc>
      </w:tr>
      <w:tr>
        <w:trPr>
          <w:trHeight w:val="245" w:hRule="atLeast"/>
        </w:trPr>
        <w:tc>
          <w:tcPr>
            <w:tcW w:w="121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14</w:t>
            </w:r>
          </w:p>
        </w:tc>
        <w:tc>
          <w:tcPr>
            <w:tcW w:w="365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cs="Calibri" w:ascii="Verdana" w:hAnsi="Verdana"/>
                <w:color w:val="000000"/>
                <w:kern w:val="0"/>
                <w:sz w:val="20"/>
                <w:szCs w:val="20"/>
                <w:lang w:eastAsia="pt-BR"/>
              </w:rPr>
              <w:t>Córrego Arara</w:t>
            </w:r>
          </w:p>
        </w:tc>
        <w:tc>
          <w:tcPr>
            <w:tcW w:w="4891"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cs="Calibri" w:ascii="Verdana" w:hAnsi="Verdana"/>
                <w:color w:val="000000"/>
                <w:kern w:val="0"/>
                <w:sz w:val="20"/>
                <w:szCs w:val="20"/>
                <w:lang w:eastAsia="pt-BR"/>
              </w:rPr>
              <w:t>-18.97796116786473, -40.49191124740877</w:t>
            </w:r>
          </w:p>
        </w:tc>
      </w:tr>
    </w:tbl>
    <w:p>
      <w:pPr>
        <w:pStyle w:val="Normal"/>
        <w:spacing w:lineRule="auto" w:line="240" w:before="240" w:after="160"/>
        <w:jc w:val="both"/>
        <w:rPr>
          <w:rFonts w:ascii="Verdana" w:hAnsi="Verdana"/>
          <w:sz w:val="20"/>
          <w:szCs w:val="20"/>
        </w:rPr>
      </w:pPr>
      <w:r>
        <w:rPr>
          <w:rFonts w:cs="Calibri" w:ascii="Verdana" w:hAnsi="Verdana"/>
          <w:sz w:val="20"/>
          <w:szCs w:val="20"/>
        </w:rPr>
        <w:t>É sabido também que o município mantém interligação com outros municípios por meio de sua zona rural, o que reforça a importância estratégica de ampliar a conectividade e o videomonitoramento nessas áreas, tanto para a segurança pública quanto para a integração regional.</w:t>
      </w:r>
    </w:p>
    <w:p>
      <w:pPr>
        <w:pStyle w:val="Normal"/>
        <w:spacing w:lineRule="auto" w:line="240" w:before="240" w:after="160"/>
        <w:jc w:val="both"/>
        <w:rPr>
          <w:rFonts w:ascii="Verdana" w:hAnsi="Verdana"/>
          <w:sz w:val="20"/>
          <w:szCs w:val="20"/>
        </w:rPr>
      </w:pPr>
      <w:r>
        <w:rPr>
          <w:rFonts w:cs="Calibri" w:ascii="Verdana" w:hAnsi="Verdana"/>
          <w:sz w:val="20"/>
          <w:szCs w:val="20"/>
        </w:rPr>
        <w:t>Estima-se a necessidade de implantar, na zona rural do município, ao menos 60 pontos de comunicação e 30 pontos de videomonitoramento, cada um equipado com no mínimo duas câmeras. Essa estrutura visa interligar os serviços públicos às comunidades rurais, garantindo conectividade para atendimento administrativo, educacional e de saúde, além de ampliar a segurança por meio do monitoramento contínuo em locais estratégicos.</w:t>
      </w:r>
    </w:p>
    <w:p>
      <w:pPr>
        <w:pStyle w:val="Normal"/>
        <w:spacing w:lineRule="auto" w:line="240" w:before="240" w:after="160"/>
        <w:jc w:val="both"/>
        <w:rPr>
          <w:rFonts w:ascii="Verdana" w:hAnsi="Verdana"/>
          <w:sz w:val="20"/>
          <w:szCs w:val="20"/>
        </w:rPr>
      </w:pPr>
      <w:r>
        <w:rPr>
          <w:rFonts w:cs="Calibri" w:ascii="Verdana" w:hAnsi="Verdana"/>
          <w:sz w:val="20"/>
          <w:szCs w:val="20"/>
        </w:rPr>
        <w:t>O fortalecimento da cobertura nessas áreas não apenas aumentará a segurança pública — por meio da instalação de câmeras em pontos estratégicos — como também proporcionará melhorias no atendimento de saúde, na educação, nos serviços administrativos e no acesso à informação, promovendo maior integração entre a zona urbana e as comunidades rurais do município.</w:t>
      </w:r>
    </w:p>
    <w:p>
      <w:pPr>
        <w:pStyle w:val="Normal"/>
        <w:spacing w:lineRule="auto" w:line="240" w:before="240" w:after="160"/>
        <w:jc w:val="both"/>
        <w:rPr>
          <w:rFonts w:ascii="Verdana" w:hAnsi="Verdana"/>
          <w:sz w:val="20"/>
          <w:szCs w:val="20"/>
        </w:rPr>
      </w:pPr>
      <w:r>
        <w:rPr>
          <w:rFonts w:cs="Calibri" w:ascii="Verdana" w:hAnsi="Verdana"/>
          <w:sz w:val="20"/>
          <w:szCs w:val="20"/>
        </w:rPr>
        <w:t>A forma para integração da comunidade é implementando um sistema inspirado no Programa Internet Brasil que hoje só está disponível no Norte do País. O objetivo principal é fornecer acesso gratuito à internet banda larga móvel para estudantes da rede pública de ensino básico, garantindo que a tecnologia esteja a serviço da educação e do desenvolvimento social. Com essa iniciativa, buscamos reduzir as barreiras digitais, ampliar o acesso à informação e apoiar diretamente a permanência dos alunos na escola.</w:t>
      </w:r>
    </w:p>
    <w:p>
      <w:pPr>
        <w:pStyle w:val="Normal"/>
        <w:spacing w:lineRule="auto" w:line="240" w:before="240" w:after="160"/>
        <w:jc w:val="both"/>
        <w:rPr>
          <w:rFonts w:ascii="Verdana" w:hAnsi="Verdana"/>
          <w:sz w:val="20"/>
          <w:szCs w:val="20"/>
        </w:rPr>
      </w:pPr>
      <w:r>
        <w:rPr>
          <w:rFonts w:cs="Calibri" w:ascii="Verdana" w:hAnsi="Verdana"/>
          <w:sz w:val="20"/>
          <w:szCs w:val="20"/>
        </w:rPr>
        <w:t>Um dos pilares centrais é a integração direta com as famílias cadastradas no Cadastro Único para Programas Sociais do Governo Federal (CadÚnico). Essa base de dados permite que a Prefeitura identifique de forma precisa as famílias em situação de maior vulnerabilidade social, garantindo que o benefício da internet gratuita seja destinado prioritariamente a quem mais necessita. Além de fornecer conectividade aos estudantes, a iniciativa aproxima a gestão municipal das famílias, possibilitando ações complementares de inclusão digital, acompanhamento escolar e orientação sobre o uso seguro da internet. Essa abordagem garante que o projeto seja socialmente justo, eficiente na aplicação dos recursos e alinhado às políticas públicas já existentes para proteção e promoção da cidadania.</w:t>
      </w:r>
    </w:p>
    <w:p>
      <w:pPr>
        <w:pStyle w:val="Normal"/>
        <w:spacing w:lineRule="auto" w:line="240" w:before="240" w:after="160"/>
        <w:jc w:val="both"/>
        <w:rPr>
          <w:rFonts w:ascii="Verdana" w:hAnsi="Verdana"/>
          <w:sz w:val="20"/>
          <w:szCs w:val="20"/>
        </w:rPr>
      </w:pPr>
      <w:r>
        <w:rPr>
          <w:rFonts w:cs="Calibri" w:ascii="Verdana" w:hAnsi="Verdana"/>
          <w:sz w:val="20"/>
          <w:szCs w:val="20"/>
        </w:rPr>
        <w:t>O projeto prevê a entrega de chips de dados móveis para estudantes devidamente cadastrados no Cadastro Único para Programas Sociais do Governo Federal. O chip permitirá que o aluno acesse a internet com qualidade, utilizando as tecnologias móveis mais rápidas disponíveis. Esse acesso não apenas facilita atividades escolares on-line, mas também abre portas para cursos, pesquisas e outras ferramentas educacionais digitais, fortalecendo o aprendizado dentro e fora da sala de aula.</w:t>
      </w:r>
    </w:p>
    <w:p>
      <w:pPr>
        <w:pStyle w:val="Normal"/>
        <w:spacing w:lineRule="auto" w:line="240" w:before="240" w:after="160"/>
        <w:jc w:val="both"/>
        <w:rPr>
          <w:rFonts w:ascii="Verdana" w:hAnsi="Verdana"/>
          <w:sz w:val="20"/>
          <w:szCs w:val="20"/>
        </w:rPr>
      </w:pPr>
      <w:r>
        <w:rPr>
          <w:rFonts w:cs="Calibri" w:ascii="Verdana" w:hAnsi="Verdana"/>
          <w:sz w:val="20"/>
          <w:szCs w:val="20"/>
        </w:rPr>
        <w:t>Para participar o interessado deverá atender a alguns critérios: estar inscrito no CadÚnico, já possuir um dispositivo compatível, estar regularmente matriculado na rede pública municipal ou estadual de ensino a partir do 3º ano do Ensino Fundamental, não possuir chip de outros programas governamentais e cumprir as regras adicionais de distribuição definidas pela sua escola. Esses requisitos asseguram que o benefício chegue às famílias que mais necessitam e que será efetivamente utilizado para fins educacionais.</w:t>
      </w:r>
    </w:p>
    <w:p>
      <w:pPr>
        <w:pStyle w:val="Normal"/>
        <w:suppressAutoHyphens w:val="false"/>
        <w:spacing w:lineRule="auto" w:line="240"/>
        <w:jc w:val="both"/>
        <w:rPr>
          <w:rFonts w:ascii="Verdana" w:hAnsi="Verdana"/>
          <w:sz w:val="20"/>
          <w:szCs w:val="20"/>
        </w:rPr>
      </w:pPr>
      <w:r>
        <w:rPr>
          <w:rFonts w:cs="Calibri" w:ascii="Verdana" w:hAnsi="Verdana"/>
          <w:sz w:val="20"/>
          <w:szCs w:val="20"/>
        </w:rPr>
        <w:t>Os cidadãos contemplados também poderão acessar uma ampla variedade de conteúdos e plataformas oferecidas pelo Governo Federal, como cursos on-line gratuitos, ambientes virtuais de aprendizagem e materiais educativos voltados à proteção on-line infantil, qualificação profissional e desenvolvimento pessoal. Entre as oportunidades disponíveis, destacam-se recursos do Ministério da Educação (MEC), Ministério da Cidadania, Ministério do Meio Ambiente, além de iniciativas como a Escola do Trabalhador 4.0, Plataforma Integrada, Escola Virtual.Gov, UNA-SUS e diversos programas de capacitação e aprendizado. Essa integração garante que o acesso à internet se converta em oportunidades reais de crescimento acadêmico, profissional e social.</w:t>
      </w:r>
    </w:p>
    <w:p>
      <w:pPr>
        <w:pStyle w:val="Normal"/>
        <w:suppressAutoHyphens w:val="false"/>
        <w:spacing w:lineRule="auto" w:line="240"/>
        <w:jc w:val="both"/>
        <w:rPr>
          <w:rFonts w:ascii="Verdana" w:hAnsi="Verdana" w:cs="Arial"/>
          <w:b/>
          <w:sz w:val="20"/>
          <w:szCs w:val="20"/>
        </w:rPr>
      </w:pPr>
      <w:r>
        <w:rPr>
          <w:rFonts w:cs="Arial" w:ascii="Verdana" w:hAnsi="Verdana"/>
          <w:b/>
          <w:sz w:val="20"/>
          <w:szCs w:val="20"/>
        </w:rPr>
      </w:r>
    </w:p>
    <w:p>
      <w:pPr>
        <w:pStyle w:val="Normal"/>
        <w:suppressAutoHyphens w:val="false"/>
        <w:spacing w:lineRule="auto" w:line="240"/>
        <w:jc w:val="both"/>
        <w:rPr>
          <w:rFonts w:ascii="Verdana" w:hAnsi="Verdana"/>
          <w:sz w:val="20"/>
          <w:szCs w:val="20"/>
        </w:rPr>
      </w:pPr>
      <w:r>
        <w:rPr>
          <w:rFonts w:cs="Arial" w:ascii="Verdana" w:hAnsi="Verdana"/>
          <w:b/>
          <w:bCs/>
          <w:sz w:val="20"/>
          <w:szCs w:val="20"/>
        </w:rPr>
        <w:t xml:space="preserve">7.2. </w:t>
      </w:r>
      <w:r>
        <w:rPr>
          <w:rFonts w:cs="Arial" w:ascii="Verdana" w:hAnsi="Verdana"/>
          <w:sz w:val="20"/>
          <w:szCs w:val="20"/>
        </w:rPr>
        <w:t>A relação dos itens necessários para contemplar a solução, bem como a estimativa da quantidade a ser contratada é apresentada na tabela a seguir</w:t>
      </w:r>
      <w:r>
        <w:rPr>
          <w:rFonts w:cs="Arial" w:ascii="Verdana" w:hAnsi="Verdana"/>
          <w:color w:val="000000"/>
          <w:sz w:val="20"/>
          <w:szCs w:val="20"/>
        </w:rPr>
        <w:t>.</w:t>
      </w:r>
    </w:p>
    <w:p>
      <w:pPr>
        <w:pStyle w:val="Normal"/>
        <w:suppressAutoHyphens w:val="false"/>
        <w:spacing w:lineRule="auto" w:line="240"/>
        <w:jc w:val="both"/>
        <w:rPr>
          <w:rFonts w:ascii="Verdana" w:hAnsi="Verdana" w:cs="Arial"/>
          <w:color w:val="000000"/>
          <w:sz w:val="20"/>
          <w:szCs w:val="20"/>
        </w:rPr>
      </w:pPr>
      <w:r>
        <w:rPr>
          <w:rFonts w:cs="Arial" w:ascii="Verdana" w:hAnsi="Verdana"/>
          <w:color w:val="000000"/>
          <w:sz w:val="20"/>
          <w:szCs w:val="20"/>
        </w:rPr>
      </w:r>
    </w:p>
    <w:tbl>
      <w:tblPr>
        <w:tblStyle w:val="8"/>
        <w:tblW w:w="9804" w:type="dxa"/>
        <w:jc w:val="left"/>
        <w:tblInd w:w="75" w:type="dxa"/>
        <w:tblLayout w:type="fixed"/>
        <w:tblCellMar>
          <w:top w:w="0" w:type="dxa"/>
          <w:left w:w="70" w:type="dxa"/>
          <w:bottom w:w="0" w:type="dxa"/>
          <w:right w:w="70" w:type="dxa"/>
        </w:tblCellMar>
      </w:tblPr>
      <w:tblGrid>
        <w:gridCol w:w="870"/>
        <w:gridCol w:w="6282"/>
        <w:gridCol w:w="915"/>
        <w:gridCol w:w="1736"/>
      </w:tblGrid>
      <w:tr>
        <w:trPr>
          <w:trHeight w:val="253" w:hRule="atLeast"/>
        </w:trPr>
        <w:tc>
          <w:tcPr>
            <w:tcW w:w="9803" w:type="dxa"/>
            <w:gridSpan w:val="4"/>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bottom"/>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Grupo 1 - Videomonitoramento</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Item</w:t>
            </w:r>
          </w:p>
        </w:tc>
        <w:tc>
          <w:tcPr>
            <w:tcW w:w="628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Descrição</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Unidade</w:t>
            </w:r>
          </w:p>
        </w:tc>
        <w:tc>
          <w:tcPr>
            <w:tcW w:w="17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Quantitativo Mensal</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w:t>
            </w:r>
          </w:p>
        </w:tc>
        <w:tc>
          <w:tcPr>
            <w:tcW w:w="628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Central de Videomonitoramento</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4</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w:t>
            </w:r>
          </w:p>
        </w:tc>
        <w:tc>
          <w:tcPr>
            <w:tcW w:w="628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Câmera Speed Dome PTZ</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200</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3</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Câmera Direcional - Exterior</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300</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4</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Câmera Direcional - Interior</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300</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5</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Licença - Reconhecimento Facial</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600</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6</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Licença - Leitura de Placas</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200</w:t>
            </w:r>
          </w:p>
        </w:tc>
      </w:tr>
      <w:tr>
        <w:trPr>
          <w:trHeight w:val="253" w:hRule="exac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915"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r>
      <w:tr>
        <w:trPr>
          <w:trHeight w:val="253" w:hRule="atLeast"/>
        </w:trPr>
        <w:tc>
          <w:tcPr>
            <w:tcW w:w="9803" w:type="dxa"/>
            <w:gridSpan w:val="4"/>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bottom"/>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Grupo 2 - Internet e Pontos de Comunicação</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Item</w:t>
            </w:r>
          </w:p>
        </w:tc>
        <w:tc>
          <w:tcPr>
            <w:tcW w:w="628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Descrição</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Unidade</w:t>
            </w:r>
          </w:p>
        </w:tc>
        <w:tc>
          <w:tcPr>
            <w:tcW w:w="17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Quantitativo Mensal</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w:t>
            </w:r>
          </w:p>
        </w:tc>
        <w:tc>
          <w:tcPr>
            <w:tcW w:w="628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Ponto de Atendimento - Rede Fibra c/ Wi-Fi</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100</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Ponto de Wi-Fi - Externo</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100</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3</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Link de Internet Dedicado Full Duplex</w:t>
            </w:r>
            <w:r>
              <w:rPr>
                <w:rFonts w:ascii="Verdana" w:hAnsi="Verdana"/>
                <w:color w:themeColor="text1" w:val="000000"/>
                <w:kern w:val="0"/>
                <w:sz w:val="20"/>
                <w:szCs w:val="20"/>
                <w:lang w:val="en-US" w:eastAsia="pt-BR"/>
              </w:rPr>
              <w:t xml:space="preserve"> </w:t>
            </w:r>
            <w:r>
              <w:rPr>
                <w:rFonts w:eastAsia="Times New Roman" w:cs="Times New Roman" w:ascii="Verdana" w:hAnsi="Verdana"/>
                <w:color w:themeColor="text1" w:val="000000"/>
                <w:kern w:val="0"/>
                <w:sz w:val="20"/>
                <w:szCs w:val="20"/>
                <w:lang w:val="en-US" w:eastAsia="pt-BR"/>
              </w:rPr>
              <w:t xml:space="preserve"> (5GBPS)</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Gbps</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5</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4</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Ponto Atendimento - Receptor Tipo CPE 4G/5G</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100</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5</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Ponto Atendimento - Receptor Tipo USB 4G/5G</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2000</w:t>
            </w:r>
          </w:p>
        </w:tc>
      </w:tr>
      <w:tr>
        <w:trPr>
          <w:trHeight w:val="253" w:hRule="exac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915"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r>
      <w:tr>
        <w:trPr>
          <w:trHeight w:val="253" w:hRule="atLeast"/>
        </w:trPr>
        <w:tc>
          <w:tcPr>
            <w:tcW w:w="9803" w:type="dxa"/>
            <w:gridSpan w:val="4"/>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bottom"/>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Grupo 3 - Rede FWA</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Item</w:t>
            </w:r>
          </w:p>
        </w:tc>
        <w:tc>
          <w:tcPr>
            <w:tcW w:w="6282"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Descrição</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Unidade</w:t>
            </w:r>
          </w:p>
        </w:tc>
        <w:tc>
          <w:tcPr>
            <w:tcW w:w="173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Quantitativo Mensal</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 xml:space="preserve">Pacote de Dados 4G/5G – </w:t>
            </w:r>
            <w:r>
              <w:rPr>
                <w:rFonts w:ascii="Verdana" w:hAnsi="Verdana"/>
                <w:b/>
                <w:bCs/>
                <w:i/>
                <w:iCs/>
                <w:color w:themeColor="text1" w:val="000000"/>
                <w:kern w:val="0"/>
                <w:sz w:val="20"/>
                <w:szCs w:val="20"/>
                <w:lang w:eastAsia="pt-BR"/>
              </w:rPr>
              <w:t>Franquia</w:t>
            </w:r>
            <w:r>
              <w:rPr>
                <w:rFonts w:ascii="Verdana" w:hAnsi="Verdana"/>
                <w:color w:themeColor="text1" w:val="000000"/>
                <w:kern w:val="0"/>
                <w:sz w:val="20"/>
                <w:szCs w:val="20"/>
                <w:lang w:eastAsia="pt-BR"/>
              </w:rPr>
              <w:t xml:space="preserve"> </w:t>
            </w:r>
            <w:r>
              <w:rPr>
                <w:rFonts w:ascii="Verdana" w:hAnsi="Verdana"/>
                <w:b/>
                <w:bCs/>
                <w:i/>
                <w:iCs/>
                <w:color w:themeColor="text1" w:val="000000"/>
                <w:kern w:val="0"/>
                <w:sz w:val="20"/>
                <w:szCs w:val="20"/>
                <w:lang w:eastAsia="pt-BR"/>
              </w:rPr>
              <w:t>Mensal 30GB</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2000</w:t>
            </w:r>
          </w:p>
        </w:tc>
      </w:tr>
      <w:tr>
        <w:trPr>
          <w:trHeight w:val="253" w:hRule="atLeast"/>
        </w:trPr>
        <w:tc>
          <w:tcPr>
            <w:tcW w:w="87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w:t>
            </w:r>
          </w:p>
        </w:tc>
        <w:tc>
          <w:tcPr>
            <w:tcW w:w="6282"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 xml:space="preserve">Pacote de Dados 4G/5G – </w:t>
            </w:r>
            <w:r>
              <w:rPr>
                <w:rFonts w:ascii="Verdana" w:hAnsi="Verdana"/>
                <w:b/>
                <w:bCs/>
                <w:i/>
                <w:iCs/>
                <w:color w:themeColor="text1" w:val="000000"/>
                <w:kern w:val="0"/>
                <w:sz w:val="20"/>
                <w:szCs w:val="20"/>
                <w:lang w:eastAsia="pt-BR"/>
              </w:rPr>
              <w:t>Franquia</w:t>
            </w:r>
            <w:r>
              <w:rPr>
                <w:rFonts w:ascii="Verdana" w:hAnsi="Verdana"/>
                <w:color w:themeColor="text1" w:val="000000"/>
                <w:kern w:val="0"/>
                <w:sz w:val="20"/>
                <w:szCs w:val="20"/>
                <w:lang w:eastAsia="pt-BR"/>
              </w:rPr>
              <w:t xml:space="preserve"> </w:t>
            </w:r>
            <w:r>
              <w:rPr>
                <w:rFonts w:ascii="Verdana" w:hAnsi="Verdana"/>
                <w:b/>
                <w:bCs/>
                <w:i/>
                <w:iCs/>
                <w:color w:themeColor="text1" w:val="000000"/>
                <w:kern w:val="0"/>
                <w:sz w:val="20"/>
                <w:szCs w:val="20"/>
                <w:lang w:eastAsia="pt-BR"/>
              </w:rPr>
              <w:t>Mensal 50GB</w:t>
            </w:r>
          </w:p>
        </w:tc>
        <w:tc>
          <w:tcPr>
            <w:tcW w:w="915"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736"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400</w:t>
            </w:r>
          </w:p>
        </w:tc>
      </w:tr>
    </w:tbl>
    <w:p>
      <w:pPr>
        <w:pStyle w:val="Normal"/>
        <w:suppressAutoHyphens w:val="false"/>
        <w:spacing w:lineRule="auto" w:line="240"/>
        <w:jc w:val="both"/>
        <w:rPr>
          <w:rFonts w:ascii="Verdana" w:hAnsi="Verdana"/>
          <w:sz w:val="20"/>
          <w:szCs w:val="20"/>
        </w:rPr>
      </w:pPr>
      <w:r>
        <w:rPr>
          <w:rFonts w:ascii="Verdana" w:hAnsi="Verdana"/>
          <w:sz w:val="20"/>
          <w:szCs w:val="20"/>
        </w:rPr>
      </w:r>
    </w:p>
    <w:p>
      <w:pPr>
        <w:pStyle w:val="Normal"/>
        <w:suppressAutoHyphens w:val="false"/>
        <w:spacing w:lineRule="auto" w:line="240"/>
        <w:jc w:val="both"/>
        <w:rPr>
          <w:rFonts w:ascii="Verdana" w:hAnsi="Verdana"/>
          <w:sz w:val="20"/>
          <w:szCs w:val="20"/>
        </w:rPr>
      </w:pPr>
      <w:r>
        <w:rPr>
          <w:rFonts w:eastAsia="Arial" w:cs="Arial" w:ascii="Verdana" w:hAnsi="Verdana"/>
          <w:b/>
          <w:sz w:val="20"/>
          <w:szCs w:val="20"/>
        </w:rPr>
        <w:t xml:space="preserve">8. DESCRIÇÃO DOS REQUISITOS DA CONTRATAÇÃO </w:t>
      </w:r>
    </w:p>
    <w:p>
      <w:pPr>
        <w:pStyle w:val="Normal"/>
        <w:spacing w:lineRule="auto" w:line="240"/>
        <w:jc w:val="both"/>
        <w:rPr>
          <w:rFonts w:ascii="Verdana" w:hAnsi="Verdana"/>
          <w:b/>
          <w:bCs/>
          <w:sz w:val="20"/>
          <w:szCs w:val="20"/>
        </w:rPr>
      </w:pPr>
      <w:r>
        <w:rPr>
          <w:rFonts w:ascii="Verdana" w:hAnsi="Verdana"/>
          <w:b/>
          <w:bCs/>
          <w:sz w:val="20"/>
          <w:szCs w:val="20"/>
        </w:rPr>
      </w:r>
    </w:p>
    <w:p>
      <w:pPr>
        <w:pStyle w:val="ListParagraph"/>
        <w:numPr>
          <w:ilvl w:val="1"/>
          <w:numId w:val="1"/>
        </w:numPr>
        <w:tabs>
          <w:tab w:val="clear" w:pos="708"/>
          <w:tab w:val="left" w:pos="450" w:leader="none"/>
        </w:tabs>
        <w:spacing w:lineRule="auto" w:line="240" w:before="0" w:after="0"/>
        <w:ind w:hanging="0" w:left="0"/>
        <w:rPr>
          <w:rFonts w:ascii="Verdana" w:hAnsi="Verdana"/>
          <w:sz w:val="20"/>
          <w:szCs w:val="20"/>
        </w:rPr>
      </w:pPr>
      <w:r>
        <w:rPr>
          <w:rFonts w:ascii="Verdana" w:hAnsi="Verdana"/>
          <w:b/>
          <w:bCs/>
          <w:sz w:val="20"/>
          <w:szCs w:val="20"/>
        </w:rPr>
        <w:t>CENTRAL DE VIDEOMONITORAMENTO</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color w:themeColor="text1" w:val="000000"/>
          <w:sz w:val="20"/>
          <w:szCs w:val="20"/>
        </w:rPr>
        <w:t>O conjunto da central de videomonitoramento para cada 64 câmeras, deverá contar com 1 mesa de operação com computador, 2 telas (22”) para o operador, mouse e teclado (ABNT2), CPU, Videowall 2x2, Software VMS e armazenamento (storage) das imagens local e/ou em nuvem (on cloud) para 30 dias;</w:t>
      </w:r>
    </w:p>
    <w:p>
      <w:pPr>
        <w:pStyle w:val="ListParagraph"/>
        <w:spacing w:lineRule="auto" w:line="240" w:before="0" w:after="0"/>
        <w:ind w:lef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b/>
          <w:bCs/>
          <w:color w:themeColor="text1" w:val="000000"/>
          <w:sz w:val="20"/>
          <w:szCs w:val="20"/>
        </w:rPr>
        <w:t>Mesa de Operação</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 xml:space="preserve">Mesa ergonômica para operação em centrais de monitoramento </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Dimensões: Compatível para acomodar computador, dois monitores (22”), teclado, mouse e demais periféricos (mínimo 160 x 90cm);</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Estrutura: Metálica, pintada em epóxi ou similar, com tampo em MDF revestido em laminado melamínico;</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Passagem interna para cabos, bordas arredondadas, pés reguláveis em altura.</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Acabamento: Padrão em cores neutras (cinza, preto ou madeira clara).</w:t>
      </w:r>
    </w:p>
    <w:p>
      <w:pPr>
        <w:pStyle w:val="ListParagraph"/>
        <w:tabs>
          <w:tab w:val="clear" w:pos="708"/>
          <w:tab w:val="left" w:pos="851" w:leader="none"/>
        </w:tabs>
        <w:spacing w:lineRule="auto" w:line="240" w:before="0" w:after="0"/>
        <w:ind w:lef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b/>
          <w:bCs/>
          <w:color w:themeColor="text1" w:val="000000"/>
          <w:sz w:val="20"/>
          <w:szCs w:val="20"/>
        </w:rPr>
        <w:t>Computador (CPU)</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Processador: Mínimo 8ª geração ou superior, equivalente a Intel Core i5/Ryzen 5 ou superior.</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Memória RAM: 16 GB DDR4 ou superior, expansível.</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Armazenamento: SSD mínimo de 512 GB.</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Placa de vídeo: Dedicada ou integrada (mínimo 2 portas)</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Porta de Rede Gigabit Ethernet, portas USB 3.0, HDMI/DisplayPort.</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Sistema Operacional: Compatível com o Software VMS da central.</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Acessórios: Teclado ABNT2, mouse óptico.</w:t>
      </w:r>
    </w:p>
    <w:p>
      <w:pPr>
        <w:pStyle w:val="ListParagraph"/>
        <w:tabs>
          <w:tab w:val="clear" w:pos="708"/>
          <w:tab w:val="left" w:pos="851" w:leader="none"/>
        </w:tabs>
        <w:spacing w:lineRule="auto" w:line="240" w:before="0" w:after="0"/>
        <w:ind w:lef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b/>
          <w:bCs/>
          <w:color w:themeColor="text1" w:val="000000"/>
          <w:sz w:val="20"/>
          <w:szCs w:val="20"/>
        </w:rPr>
        <w:t>Monitores</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Quantidade: 2 unidades por mesa de operação.</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Tamanho: 22” polegadas, Resolução Full HD (1920 x 1080), LED ou LCD com tecnologia IPS. Porta HDMI, DisplayPort conforme compatibilidade com a CPU, Base ajustável em inclinação, possibilidade de fixação em suporte VESA.</w:t>
      </w:r>
    </w:p>
    <w:p>
      <w:pPr>
        <w:pStyle w:val="ListParagraph"/>
        <w:tabs>
          <w:tab w:val="clear" w:pos="708"/>
          <w:tab w:val="left" w:pos="851" w:leader="none"/>
        </w:tabs>
        <w:spacing w:lineRule="auto" w:line="240" w:before="0" w:after="0"/>
        <w:ind w:lef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b/>
          <w:bCs/>
          <w:color w:themeColor="text1" w:val="000000"/>
          <w:sz w:val="20"/>
          <w:szCs w:val="20"/>
        </w:rPr>
        <w:t>Software VMS</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b/>
          <w:bCs/>
          <w:color w:themeColor="text1" w:val="000000"/>
          <w:sz w:val="20"/>
          <w:szCs w:val="20"/>
        </w:rPr>
        <w:t>Justificativa de Escolha de Software Dahua DSS Professional</w:t>
      </w:r>
    </w:p>
    <w:p>
      <w:pPr>
        <w:pStyle w:val="Normal"/>
        <w:spacing w:lineRule="auto" w:line="240"/>
        <w:jc w:val="both"/>
        <w:rPr>
          <w:rFonts w:ascii="Verdana" w:hAnsi="Verdana"/>
          <w:sz w:val="20"/>
          <w:szCs w:val="20"/>
        </w:rPr>
      </w:pPr>
      <w:r>
        <w:rPr>
          <w:rFonts w:cs="Calibri" w:ascii="Verdana" w:hAnsi="Verdana"/>
          <w:color w:themeColor="text1" w:val="000000"/>
          <w:sz w:val="20"/>
          <w:szCs w:val="20"/>
        </w:rPr>
        <w:t>Conforme dispõe o Art. 41 da Lei nº 14.133/2021, a Administração poderá, de forma excepcional e desde que devidamente justificada, indicar marca ou modelo específico em processos licitatórios de fornecimento de bens, nos seguintes casos:</w:t>
      </w:r>
    </w:p>
    <w:p>
      <w:pPr>
        <w:pStyle w:val="Normal"/>
        <w:spacing w:lineRule="auto" w:line="240"/>
        <w:ind w:left="1134"/>
        <w:jc w:val="both"/>
        <w:rPr>
          <w:rFonts w:ascii="Verdana" w:hAnsi="Verdana"/>
          <w:sz w:val="20"/>
          <w:szCs w:val="20"/>
        </w:rPr>
      </w:pPr>
      <w:r>
        <w:rPr>
          <w:rFonts w:cs="Calibri" w:ascii="Verdana" w:hAnsi="Verdana"/>
          <w:i/>
          <w:iCs/>
          <w:color w:themeColor="text1" w:val="000000"/>
          <w:sz w:val="20"/>
          <w:szCs w:val="20"/>
        </w:rPr>
        <w:t>a) em decorrência da necessidade de padronização do objeto;</w:t>
      </w:r>
    </w:p>
    <w:p>
      <w:pPr>
        <w:pStyle w:val="Normal"/>
        <w:spacing w:lineRule="auto" w:line="240"/>
        <w:ind w:left="1134"/>
        <w:jc w:val="both"/>
        <w:rPr>
          <w:rFonts w:ascii="Verdana" w:hAnsi="Verdana"/>
          <w:sz w:val="20"/>
          <w:szCs w:val="20"/>
        </w:rPr>
      </w:pPr>
      <w:r>
        <w:rPr>
          <w:rFonts w:cs="Calibri" w:ascii="Verdana" w:hAnsi="Verdana"/>
          <w:i/>
          <w:iCs/>
          <w:color w:themeColor="text1" w:val="000000"/>
          <w:sz w:val="20"/>
          <w:szCs w:val="20"/>
        </w:rPr>
        <w:t>b) em decorrência da necessidade de manter a compatibilidade com plataformas e padrões já adotados pela Administração;</w:t>
      </w:r>
    </w:p>
    <w:p>
      <w:pPr>
        <w:pStyle w:val="Normal"/>
        <w:spacing w:lineRule="auto" w:line="240"/>
        <w:jc w:val="both"/>
        <w:rPr>
          <w:rFonts w:ascii="Verdana" w:hAnsi="Verdana"/>
          <w:sz w:val="20"/>
          <w:szCs w:val="20"/>
        </w:rPr>
      </w:pPr>
      <w:r>
        <w:rPr>
          <w:rFonts w:cs="Calibri" w:ascii="Verdana" w:hAnsi="Verdana"/>
          <w:color w:themeColor="text1" w:val="000000"/>
          <w:sz w:val="20"/>
          <w:szCs w:val="20"/>
        </w:rPr>
        <w:t xml:space="preserve">Considerando que o software de gerenciamento de vídeo Dahua é utilizado nos serviços de segurança pública do Governo do Estado, no </w:t>
      </w:r>
      <w:r>
        <w:rPr>
          <w:rFonts w:cs="Calibri" w:ascii="Verdana" w:hAnsi="Verdana"/>
          <w:i/>
          <w:iCs/>
          <w:color w:themeColor="text1" w:val="000000"/>
          <w:sz w:val="20"/>
          <w:szCs w:val="20"/>
        </w:rPr>
        <w:t>“Olho Digital”</w:t>
      </w:r>
      <w:r>
        <w:rPr>
          <w:rFonts w:cs="Calibri" w:ascii="Verdana" w:hAnsi="Verdana"/>
          <w:color w:themeColor="text1" w:val="000000"/>
          <w:sz w:val="20"/>
          <w:szCs w:val="20"/>
        </w:rPr>
        <w:t xml:space="preserve"> e </w:t>
      </w:r>
      <w:r>
        <w:rPr>
          <w:rFonts w:cs="Calibri" w:ascii="Verdana" w:hAnsi="Verdana"/>
          <w:i/>
          <w:iCs/>
          <w:color w:themeColor="text1" w:val="000000"/>
          <w:sz w:val="20"/>
          <w:szCs w:val="20"/>
        </w:rPr>
        <w:t>“Cerco Eletrônico”</w:t>
      </w:r>
      <w:r>
        <w:rPr>
          <w:rFonts w:cs="Calibri" w:ascii="Verdana" w:hAnsi="Verdana"/>
          <w:color w:themeColor="text1" w:val="000000"/>
          <w:sz w:val="20"/>
          <w:szCs w:val="20"/>
        </w:rPr>
        <w:t>, sua adoção garante plena integração tecnológica, tendo em vista que o objetivo do município é integrar seu serviço de videomonitoramento com a Secretária de Segurança Pública do Estado (SESP).</w:t>
      </w:r>
    </w:p>
    <w:p>
      <w:pPr>
        <w:pStyle w:val="Normal"/>
        <w:spacing w:lineRule="auto" w:line="240"/>
        <w:jc w:val="both"/>
        <w:rPr>
          <w:rFonts w:ascii="Verdana" w:hAnsi="Verdana" w:cs="Calibri"/>
          <w:color w:themeColor="text1" w:val="000000"/>
          <w:sz w:val="20"/>
          <w:szCs w:val="20"/>
        </w:rPr>
      </w:pPr>
      <w:r>
        <w:rPr>
          <w:rFonts w:cs="Calibri" w:ascii="Verdana" w:hAnsi="Verdana"/>
          <w:color w:themeColor="text1" w:val="000000"/>
          <w:sz w:val="20"/>
          <w:szCs w:val="20"/>
        </w:rPr>
      </w:r>
    </w:p>
    <w:p>
      <w:pPr>
        <w:pStyle w:val="Normal"/>
        <w:spacing w:lineRule="auto" w:line="240"/>
        <w:jc w:val="both"/>
        <w:rPr>
          <w:rFonts w:ascii="Verdana" w:hAnsi="Verdana" w:cs="Calibri"/>
          <w:color w:themeColor="text1" w:val="000000"/>
          <w:sz w:val="20"/>
          <w:szCs w:val="20"/>
        </w:rPr>
      </w:pPr>
      <w:r>
        <w:rPr>
          <w:rFonts w:cs="Calibri" w:ascii="Verdana" w:hAnsi="Verdana"/>
          <w:color w:themeColor="text1" w:val="000000"/>
          <w:sz w:val="20"/>
          <w:szCs w:val="20"/>
        </w:rPr>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b/>
          <w:bCs/>
          <w:color w:themeColor="text1" w:val="000000"/>
          <w:sz w:val="20"/>
          <w:szCs w:val="20"/>
        </w:rPr>
        <w:t>Descrição do Software Dahua DSS Professional</w:t>
      </w:r>
    </w:p>
    <w:p>
      <w:pPr>
        <w:pStyle w:val="ListParagraph"/>
        <w:numPr>
          <w:ilvl w:val="4"/>
          <w:numId w:val="1"/>
        </w:numPr>
        <w:tabs>
          <w:tab w:val="clear" w:pos="708"/>
          <w:tab w:val="left" w:pos="993"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O software deverá possuir arquitetura modular cliente/servidor, suportando a operação em ambiente distribuído com múltiplos servidores integrados.</w:t>
      </w:r>
    </w:p>
    <w:p>
      <w:pPr>
        <w:pStyle w:val="ListParagraph"/>
        <w:numPr>
          <w:ilvl w:val="4"/>
          <w:numId w:val="1"/>
        </w:numPr>
        <w:tabs>
          <w:tab w:val="clear" w:pos="708"/>
          <w:tab w:val="left" w:pos="993"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suportar gerenciamento de até 1.000 dispositivos por servidor, com possibilidade de expansão por meio de cluster.</w:t>
      </w:r>
    </w:p>
    <w:p>
      <w:pPr>
        <w:pStyle w:val="ListParagraph"/>
        <w:numPr>
          <w:ilvl w:val="4"/>
          <w:numId w:val="1"/>
        </w:numPr>
        <w:tabs>
          <w:tab w:val="clear" w:pos="708"/>
          <w:tab w:val="left" w:pos="993"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permitir gravação redundante e failover automático, assegurando a continuidade do serviço em caso de falha de servidor.</w:t>
      </w:r>
    </w:p>
    <w:p>
      <w:pPr>
        <w:pStyle w:val="ListParagraph"/>
        <w:numPr>
          <w:ilvl w:val="4"/>
          <w:numId w:val="1"/>
        </w:numPr>
        <w:tabs>
          <w:tab w:val="clear" w:pos="708"/>
          <w:tab w:val="left" w:pos="993"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possibilitar streaming simultâneo para múltiplos clientes, com balanceamento de carga dinâmico.</w:t>
      </w:r>
    </w:p>
    <w:p>
      <w:pPr>
        <w:pStyle w:val="ListParagraph"/>
        <w:numPr>
          <w:ilvl w:val="4"/>
          <w:numId w:val="1"/>
        </w:numPr>
        <w:tabs>
          <w:tab w:val="clear" w:pos="708"/>
          <w:tab w:val="left" w:pos="993"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O software deverá ser compatível com ONVIF (Perfis S, G, T e M).</w:t>
      </w:r>
    </w:p>
    <w:p>
      <w:pPr>
        <w:pStyle w:val="ListParagraph"/>
        <w:numPr>
          <w:ilvl w:val="4"/>
          <w:numId w:val="1"/>
        </w:numPr>
        <w:tabs>
          <w:tab w:val="clear" w:pos="708"/>
          <w:tab w:val="left" w:pos="993"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suportar os protocolos RTSP, RTP/RTCP, HTTP/HTTPS, TCP/IP, UDP, NTP, DHCP, SNMP, FTP/SFTP.</w:t>
      </w:r>
    </w:p>
    <w:p>
      <w:pPr>
        <w:pStyle w:val="ListParagraph"/>
        <w:numPr>
          <w:ilvl w:val="4"/>
          <w:numId w:val="1"/>
        </w:numPr>
        <w:tabs>
          <w:tab w:val="clear" w:pos="708"/>
          <w:tab w:val="left" w:pos="993"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oferecer SDK e API de integração para comunicação com sistemas externos, incluindo plataformas de segurança pública e governamentais.</w:t>
      </w:r>
    </w:p>
    <w:p>
      <w:pPr>
        <w:pStyle w:val="ListParagraph"/>
        <w:numPr>
          <w:ilvl w:val="4"/>
          <w:numId w:val="1"/>
        </w:numPr>
        <w:tabs>
          <w:tab w:val="clear" w:pos="708"/>
          <w:tab w:val="left" w:pos="993"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O software deverá suportar no mínimo 16 monitores simultâneos em vídeo wall, com controle dinâmico de janelas, layouts e arranjos.</w:t>
      </w:r>
    </w:p>
    <w:p>
      <w:pPr>
        <w:pStyle w:val="ListParagraph"/>
        <w:numPr>
          <w:ilvl w:val="4"/>
          <w:numId w:val="1"/>
        </w:numPr>
        <w:tabs>
          <w:tab w:val="clear" w:pos="708"/>
          <w:tab w:val="left" w:pos="993"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permitir reprodução síncrona de no mínimo 8 canais simultâneos, com busca por evento, cronologia e metadados.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possibilitar a exportação de vídeos com assinatura digital, assegurando a integridade forense.</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ser compatível com compressões H.265, H.264 e MJPEG.</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O software deverá permitir Analíticos de Reconhecimento Facial com detecção, captura e análise de rostos em tempo real, com ajuste automático de exposição e melhoria de qualidade facial.</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possuir banco de dados com capacidade mínima para 200.000 rostos, com possibilidade de importação em lote.</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permitir comparação em tempo real com múltiplos bancos de dados, com nível de similaridade configurável.</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realizar extração de atributos faciais, incluindo idade aparente, gênero, máscara, óculos, barba e expressões.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disponibilizar relatórios estatísticos de frequência de aparição, tempo de permanência e busca forense em gravações.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O software deverá identificar automaticamente placas de veículos em movimento de até 60 km/h.</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capturar atributos como placa, cor, tipo, modelo e logotipo do veículo.</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permitir a utilização de listas de bloqueio e permissão (blacklist/whitelist), com capacidade mínima de 10.000 registros cada.</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gerar relatórios estatísticos de tráfego, incluindo volume, ocupação e velocidade média.</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permitir busca forense por placa em banco de dados de eventos gravados.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O software deverá detectar intrusão, cruzamento de linha, movimentação rápida, aglomeração, estacionamento irregular, abandono ou remoção de objetos.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realizar classificação de alvos (humano, veículo, não motorizado), com uso de IA para redução de falsos alarmes.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integrar-se com sensores de alarme e dispositivos de terceiros, com suporte a no mínimo 128 entradas digitais por servidor.</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O software deverá gerar relatórios automáticos de disponibilidade, alarmes, ocorrências e estatísticas de analíticos.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permitir a exportação de relatórios em CSV e PDF, bem como integração via API.</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manter logs detalhados de usuários, operações e acessos, com rastreabilidade total das ações.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O software deverá suportar HTTPS/SSL, autenticação 802.1X e criptografia AES.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manter logs de segurança;</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permitir cliente web HTML5 e cliente desktop para Windows.</w:t>
      </w:r>
    </w:p>
    <w:p>
      <w:pPr>
        <w:pStyle w:val="ListParagraph"/>
        <w:numPr>
          <w:ilvl w:val="4"/>
          <w:numId w:val="1"/>
        </w:numPr>
        <w:tabs>
          <w:tab w:val="clear" w:pos="708"/>
          <w:tab w:val="left" w:pos="1134" w:leader="none"/>
        </w:tabs>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Deverá suportar notificações push, chamadas SIP/VoIP e integração com sistemas de intercomunicação.</w:t>
      </w:r>
    </w:p>
    <w:p>
      <w:pPr>
        <w:pStyle w:val="ListParagraph"/>
        <w:tabs>
          <w:tab w:val="clear" w:pos="708"/>
          <w:tab w:val="left" w:pos="1134" w:leader="none"/>
        </w:tabs>
        <w:spacing w:lineRule="auto" w:line="240" w:before="0" w:after="0"/>
        <w:ind w:left="0"/>
        <w:contextualSpacing/>
        <w:jc w:val="both"/>
        <w:rPr>
          <w:rFonts w:ascii="Verdana" w:hAnsi="Verdana"/>
          <w:color w:themeColor="text1" w:val="000000"/>
          <w:sz w:val="20"/>
          <w:szCs w:val="20"/>
        </w:rPr>
      </w:pPr>
      <w:r>
        <w:rPr>
          <w:rFonts w:ascii="Verdana" w:hAnsi="Verdana"/>
          <w:color w:themeColor="text1" w:val="000000"/>
          <w:sz w:val="20"/>
          <w:szCs w:val="20"/>
        </w:rPr>
      </w:r>
    </w:p>
    <w:p>
      <w:pPr>
        <w:pStyle w:val="ListParagraph"/>
        <w:numPr>
          <w:ilvl w:val="1"/>
          <w:numId w:val="1"/>
        </w:numPr>
        <w:tabs>
          <w:tab w:val="clear" w:pos="708"/>
          <w:tab w:val="left" w:pos="513" w:leader="none"/>
        </w:tabs>
        <w:spacing w:lineRule="auto" w:line="240" w:before="0" w:after="0"/>
        <w:ind w:hanging="0" w:left="0"/>
        <w:rPr>
          <w:rFonts w:ascii="Verdana" w:hAnsi="Verdana"/>
          <w:sz w:val="20"/>
          <w:szCs w:val="20"/>
        </w:rPr>
      </w:pPr>
      <w:r>
        <w:rPr>
          <w:rFonts w:ascii="Verdana" w:hAnsi="Verdana"/>
          <w:b/>
          <w:bCs/>
          <w:sz w:val="20"/>
          <w:szCs w:val="20"/>
        </w:rPr>
        <w:t>CÂMERA PTZ</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color w:themeColor="text1" w:val="000000"/>
          <w:sz w:val="20"/>
          <w:szCs w:val="20"/>
        </w:rPr>
        <w:t>A resolução mínima deverá ser de 4 MP (2560 × 1440);</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color w:themeColor="text1" w:val="000000"/>
          <w:sz w:val="20"/>
          <w:szCs w:val="20"/>
        </w:rPr>
        <w:t>O zoom óptico deverá ser de no mínimo 42× e o zoom digital de no mínimo 16×;</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color w:themeColor="text1" w:val="000000"/>
          <w:sz w:val="20"/>
          <w:szCs w:val="20"/>
        </w:rPr>
        <w:t>O iluminador deverá ser do tipo infravermelho invisível, com alcance mínimo de 200 metros;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color w:themeColor="text1" w:val="000000"/>
          <w:sz w:val="20"/>
          <w:szCs w:val="20"/>
        </w:rPr>
        <w:t>A câmera deverá possuir sensor de imagem de no mínimo 1/1.8” progressive scan CMOS;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sensibilidade mínima deverá ser de 0,001 Lux em modo colorido e 0,0005 Lux em preto e branco, operando em 0 Lux com iluminador IR;</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lente deverá possuir distância focal de 6,0 mm a 252 mm, abertura máxima F1.2 e ângulo de visão horizontal entre 56,6° e 1,7°;</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movimento Pan deverá ser de 360° contínuos;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movimento Tilt deverá ser de -20° a 90° com auto-flip, velocidade configurável em preset;</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câmera deverá suportar no mínimo 150 posições de preset, patrulhas programáveis, padrões de varredura e função de posicionamento 3D;</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compressão de vídeo deverá ser compatível com H.265+/H.265/H.264+/H.264, com suporte a até três fluxos simultâneos;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taxa de quadros deverá ser de, no mínimo, 30 fps em todas as resoluções.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câmera deverá dispor de slot para cartão MicroSD/SDHC/SDXC com suporte a até 256 GB de armazenamento local;</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Deverá suportar funções de análise inteligente incluindo detecção de movimento, sabotagem de vídeo, intrusão, linha cruzada, abandono e remoção de objeto.</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Deverá dispor de recursos de reconhecimento facial, deep learning com captura e comparação de rostos (mínimo 30 simultâneos) e detecção de veículos com identificação de modelo, cor e placa.</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conectividade deverá incluir interface Ethernet RJ-45 10/100 Mbps, com suporte a IPv4/IPv6, HTTP/HTTPS, RTSP, SNMP, NTP, QoS e ONVIF perfis S, G e T.</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câmera deverá suportar no mínimo 20 canais de visualização simultânea.</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câmera deverá possuir grau de proteção IP67 contra poeira e água e resistência a vandalismo IK10.</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Deverá possuir proteção contra surtos;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operar em condições de temperatura de -20 ºC a 60 ºC e umidade até 90%.</w:t>
      </w:r>
    </w:p>
    <w:p>
      <w:pPr>
        <w:pStyle w:val="ListParagraph"/>
        <w:spacing w:lineRule="auto" w:line="240" w:before="0" w:after="0"/>
        <w:ind w:left="0"/>
        <w:contextualSpacing/>
        <w:jc w:val="both"/>
        <w:rPr>
          <w:rFonts w:ascii="Verdana" w:hAnsi="Verdana"/>
          <w:sz w:val="20"/>
          <w:szCs w:val="20"/>
        </w:rPr>
      </w:pPr>
      <w:r>
        <w:rPr>
          <w:rFonts w:ascii="Verdana" w:hAnsi="Verdana"/>
          <w:sz w:val="20"/>
          <w:szCs w:val="20"/>
        </w:rPr>
      </w:r>
    </w:p>
    <w:p>
      <w:pPr>
        <w:pStyle w:val="ListParagraph"/>
        <w:numPr>
          <w:ilvl w:val="1"/>
          <w:numId w:val="1"/>
        </w:numPr>
        <w:tabs>
          <w:tab w:val="clear" w:pos="708"/>
          <w:tab w:val="left" w:pos="513" w:leader="none"/>
        </w:tabs>
        <w:spacing w:lineRule="auto" w:line="240" w:before="0" w:after="0"/>
        <w:ind w:hanging="0" w:left="0"/>
        <w:rPr>
          <w:rFonts w:ascii="Verdana" w:hAnsi="Verdana"/>
          <w:sz w:val="20"/>
          <w:szCs w:val="20"/>
        </w:rPr>
      </w:pPr>
      <w:r>
        <w:rPr>
          <w:rFonts w:ascii="Verdana" w:hAnsi="Verdana"/>
          <w:b/>
          <w:bCs/>
          <w:sz w:val="20"/>
          <w:szCs w:val="20"/>
        </w:rPr>
        <w:t>CÂMERA DIRECIONAL – EXTERIOR</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A câmera deverá possuir sensor CMOS de 1/1.8” com resolução mínima de 4 MP (2688 × 1520) com no mínimo 50fps.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dispor de iluminadores infravermelhos com alcance mínimo de 60 m, assegurando operação em baixa luminosidade de até 0,0005 lux em cor e 0,0002 lux em P&amp;B.</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lente deverá ser motorizada vari-focal 2,7 mm a 12 mm, com abertura máxima F1.2 e controle P-Iris, garantindo campo de visão horizontal entre 107° e 48°.</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câmera deverá suportar até 5 fluxos simultâneos, com compressão H.265/H.264/MJPEG e WDR real de 150 dB, além de recursos de BLC, HLC, 3DNR, EIS, defog e smart illumination.</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possuir funções analíticas baseadas em deep learning, suportando pelo menos 2 analíticos, incluindo:</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sz w:val="20"/>
          <w:szCs w:val="20"/>
        </w:rPr>
        <w:t>Ter capacidade de reconhecimento Facial com banco de dados para até 200.000 faces, extração de atributos (idade, gênero, óculos, máscara, expressões), contagem e busca forense;</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sz w:val="20"/>
          <w:szCs w:val="20"/>
        </w:rPr>
        <w:t>ANPR (leitura automática de placas) com identificação de veículo em movimento, extração de atributos (placa, cor, tipo, modelo, logotipo) e suporte a listas de bloqueio e permissão de até 10.000 registros cada;</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sz w:val="20"/>
          <w:szCs w:val="20"/>
        </w:rPr>
        <w:t>Proteção perimetral inteligente, incluindo detecção de intrusão, cruzamento de linha, loitering, aglomeração, estacionamento irregular, abandono e remoção de objeto;</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sz w:val="20"/>
          <w:szCs w:val="20"/>
        </w:rPr>
        <w:t>Contagem de pessoas e veículos, mapas de calor e metadados de vídeo.</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Deverá suportar armazenamento local em cartão microSD de até 1 TB, interface de rede RJ-45 (10/100/1000 Base-T), SDK e API para integração com sistemas externos.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possuir entradas e saídas de alarme (3 in / 2 out), áudio bidirecional (1 in / 1 out) e porta RS-485.</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proteção física deverá ser mínima IP67 e IK10, com anticorrosão, adequada a ambientes externos severos.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operar em condições de temperatura de -20 ºC a 60 ºC e umidade até 90%.</w:t>
        <w:br/>
      </w:r>
    </w:p>
    <w:p>
      <w:pPr>
        <w:pStyle w:val="ListParagraph"/>
        <w:numPr>
          <w:ilvl w:val="1"/>
          <w:numId w:val="1"/>
        </w:numPr>
        <w:tabs>
          <w:tab w:val="clear" w:pos="708"/>
          <w:tab w:val="left" w:pos="513" w:leader="none"/>
        </w:tabs>
        <w:spacing w:lineRule="auto" w:line="240" w:before="0" w:after="0"/>
        <w:ind w:hanging="0" w:left="0"/>
        <w:rPr>
          <w:rFonts w:ascii="Verdana" w:hAnsi="Verdana"/>
          <w:sz w:val="20"/>
          <w:szCs w:val="20"/>
        </w:rPr>
      </w:pPr>
      <w:r>
        <w:rPr>
          <w:rFonts w:ascii="Verdana" w:hAnsi="Verdana"/>
          <w:b/>
          <w:bCs/>
          <w:sz w:val="20"/>
          <w:szCs w:val="20"/>
        </w:rPr>
        <w:t>CÂMERA DIRECIONAL – INTERIOR</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A câmera deverá possuir sensor CMOS de 1/1.8” com resolução mínima de 4 MP (2688 × 1520) com no mínimo 50fps.</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O equipamento deverá dispor de iluminadores infravermelhos com alcance mínimo de 40 m, assegurando operação em baixa luminosidade de até 0,0005 lux em cor e 0,0002 lux em P&amp;B.</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lente deverá ser motorizada vari-focal de 2.7 mm a 12 mm, com abertura mínima F1.2 e tipo P-Iris.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câmera deverá possuir recursos de imagem como WDR de no mínimo 150 dB, redução de ruído 3D NR, BLC, HLC, estabilização eletrônica (EIS), Defog e configuração de até 8 áreas de máscara de privacidade.</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possuir funções de inteligência artificial com suporte, no mínimo, a reconhecimento facial com banco de dados para até 200.000 faces, detecção e extração de atributos faciais, contagem de pessoas, detecção de EPI, ANPR (reconhecimento de placas veiculares) e funções IVS (intrusão, linha de travessia, objeto abandonado/perdido e detecção de aglomeração).</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câmera deverá possuir microfones duplos integrados e alto-falante embutido, permitindo comunicação bidirecional.</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dispor de no mínimo 3 entradas e 2 saídas de alarme, além de suporte a cartão MicroSD de até 1 TB.</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câmera deverá ser compatível com protocolos ONVIF (Perfis S/G/T/M), suportando compressão H.265/H.264 e até 5 fluxos simultâneos de vídeo.</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operar em condições de temperatura de -20 ºC a 60 ºC e umidade até 90%.</w:t>
      </w:r>
    </w:p>
    <w:p>
      <w:pPr>
        <w:pStyle w:val="ListParagraph"/>
        <w:numPr>
          <w:ilvl w:val="1"/>
          <w:numId w:val="1"/>
        </w:numPr>
        <w:tabs>
          <w:tab w:val="clear" w:pos="708"/>
          <w:tab w:val="left" w:pos="450" w:leader="none"/>
        </w:tabs>
        <w:spacing w:lineRule="auto" w:line="240" w:before="0" w:after="0"/>
        <w:ind w:hanging="0" w:left="0"/>
        <w:rPr>
          <w:rFonts w:ascii="Verdana" w:hAnsi="Verdana"/>
          <w:sz w:val="20"/>
          <w:szCs w:val="20"/>
        </w:rPr>
      </w:pPr>
      <w:r>
        <w:rPr>
          <w:rFonts w:ascii="Verdana" w:hAnsi="Verdana"/>
          <w:b/>
          <w:bCs/>
          <w:sz w:val="20"/>
          <w:szCs w:val="20"/>
        </w:rPr>
        <w:t>LICENÇA – CÂMERA DE RECONHECIMENTO FACIAL</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A licença, concedida por câmera com função ativa, deverá garantir que cada câmera tenha capacidade para:</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sz w:val="20"/>
          <w:szCs w:val="20"/>
        </w:rPr>
        <w:t>Executar reconhecimento facial com banco de dados de, no mínimo, 200.000 faces, incluindo extração de atributos como idade, gênero, óculos, máscara e expressões faciais, além de contagem e busca forense, com taxa mínima de acerto de 95%;</w:t>
      </w:r>
    </w:p>
    <w:p>
      <w:pPr>
        <w:pStyle w:val="ListParagraph"/>
        <w:numPr>
          <w:ilvl w:val="3"/>
          <w:numId w:val="1"/>
        </w:numPr>
        <w:tabs>
          <w:tab w:val="clear" w:pos="708"/>
          <w:tab w:val="left" w:pos="851" w:leader="none"/>
        </w:tabs>
        <w:spacing w:lineRule="auto" w:line="240" w:before="0" w:after="0"/>
        <w:ind w:hanging="0" w:left="0"/>
        <w:contextualSpacing/>
        <w:jc w:val="both"/>
        <w:rPr>
          <w:rFonts w:ascii="Verdana" w:hAnsi="Verdana"/>
          <w:sz w:val="20"/>
          <w:szCs w:val="20"/>
        </w:rPr>
      </w:pPr>
      <w:r>
        <w:rPr>
          <w:rFonts w:ascii="Verdana" w:hAnsi="Verdana"/>
          <w:sz w:val="20"/>
          <w:szCs w:val="20"/>
        </w:rPr>
        <w:t>Ter capacidade de realizar proteção perimetral inteligente, contemplando detecção de intrusão, cruzamento de linha, loitering, aglomeração, abandono e remoção de objeto;</w:t>
      </w:r>
    </w:p>
    <w:p>
      <w:pPr>
        <w:pStyle w:val="ListParagraph"/>
        <w:numPr>
          <w:ilvl w:val="3"/>
          <w:numId w:val="1"/>
        </w:numPr>
        <w:tabs>
          <w:tab w:val="clear" w:pos="708"/>
          <w:tab w:val="left" w:pos="851" w:leader="none"/>
        </w:tabs>
        <w:spacing w:lineRule="auto" w:line="240" w:before="0" w:after="0"/>
        <w:ind w:hanging="0" w:left="0"/>
        <w:jc w:val="both"/>
        <w:rPr>
          <w:rFonts w:ascii="Verdana" w:hAnsi="Verdana"/>
          <w:sz w:val="20"/>
          <w:szCs w:val="20"/>
        </w:rPr>
      </w:pPr>
      <w:r>
        <w:rPr>
          <w:rFonts w:ascii="Verdana" w:hAnsi="Verdana"/>
          <w:sz w:val="20"/>
          <w:szCs w:val="20"/>
        </w:rPr>
        <w:t>Efetuar contagem de pessoas e veículos, gerar mapas de calor e metadados de vídeo para análises estatísticas.</w:t>
      </w:r>
    </w:p>
    <w:p>
      <w:pPr>
        <w:pStyle w:val="ListParagraph"/>
        <w:spacing w:lineRule="auto" w:line="240" w:before="0" w:after="0"/>
        <w:rPr>
          <w:rFonts w:ascii="Verdana" w:hAnsi="Verdana"/>
          <w:sz w:val="20"/>
          <w:szCs w:val="20"/>
        </w:rPr>
      </w:pPr>
      <w:r>
        <w:rPr>
          <w:rFonts w:ascii="Verdana" w:hAnsi="Verdana"/>
          <w:sz w:val="20"/>
          <w:szCs w:val="20"/>
        </w:rPr>
      </w:r>
    </w:p>
    <w:p>
      <w:pPr>
        <w:pStyle w:val="ListParagraph"/>
        <w:numPr>
          <w:ilvl w:val="1"/>
          <w:numId w:val="1"/>
        </w:numPr>
        <w:tabs>
          <w:tab w:val="clear" w:pos="708"/>
          <w:tab w:val="left" w:pos="513" w:leader="none"/>
        </w:tabs>
        <w:spacing w:lineRule="auto" w:line="240" w:before="0" w:after="0"/>
        <w:ind w:hanging="0" w:left="0"/>
        <w:rPr>
          <w:rFonts w:ascii="Verdana" w:hAnsi="Verdana"/>
          <w:sz w:val="20"/>
          <w:szCs w:val="20"/>
        </w:rPr>
      </w:pPr>
      <w:r>
        <w:rPr>
          <w:rFonts w:ascii="Verdana" w:hAnsi="Verdana"/>
          <w:b/>
          <w:bCs/>
          <w:sz w:val="20"/>
          <w:szCs w:val="20"/>
        </w:rPr>
        <w:t>LICENÇA - CÂMERA DE LEITURA DE PLACAS</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A licença, concedida por câmera com função ativa, deverá garantir que cada câmera tenha capacidade para:</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Executar reconhecimento automático de placas veiculares (ANPR), incluindo detecção de atributos como tipo de veículo, placa, cor, logotipo e situação de trânsito, com taxa mínima de acerto de 95%;</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Realizar leitura de placas com veículos em movimento, com extração de atributos (placa, cor, tipo, modelo e logotipo), bem como suporte a listas de bloqueio e permissão (blacklist/whitelist) com capacidade mínima para 10.000 registros cada;</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Ter capacidade de realizar proteção perimetral inteligente, incluindo detecção de intrusão, cruzamento de linha e estacionamento irregular.</w:t>
      </w:r>
    </w:p>
    <w:p>
      <w:pPr>
        <w:pStyle w:val="ListParagraph"/>
        <w:spacing w:lineRule="auto" w:line="240" w:before="0" w:after="0"/>
        <w:ind w:left="0"/>
        <w:jc w:val="both"/>
        <w:rPr>
          <w:rFonts w:ascii="Verdana" w:hAnsi="Verdana"/>
          <w:sz w:val="20"/>
          <w:szCs w:val="20"/>
        </w:rPr>
      </w:pPr>
      <w:r>
        <w:rPr>
          <w:rFonts w:ascii="Verdana" w:hAnsi="Verdana"/>
          <w:sz w:val="20"/>
          <w:szCs w:val="20"/>
        </w:rPr>
      </w:r>
    </w:p>
    <w:p>
      <w:pPr>
        <w:pStyle w:val="ListParagraph"/>
        <w:spacing w:lineRule="auto" w:line="240" w:before="0" w:after="0"/>
        <w:ind w:left="0"/>
        <w:jc w:val="both"/>
        <w:rPr>
          <w:rFonts w:ascii="Verdana" w:hAnsi="Verdana"/>
          <w:sz w:val="20"/>
          <w:szCs w:val="20"/>
        </w:rPr>
      </w:pPr>
      <w:r>
        <w:rPr>
          <w:rFonts w:ascii="Verdana" w:hAnsi="Verdana"/>
          <w:sz w:val="20"/>
          <w:szCs w:val="20"/>
        </w:rPr>
      </w:r>
    </w:p>
    <w:p>
      <w:pPr>
        <w:pStyle w:val="ListParagraph"/>
        <w:spacing w:lineRule="auto" w:line="240" w:before="0" w:after="0"/>
        <w:ind w:left="0"/>
        <w:jc w:val="both"/>
        <w:rPr>
          <w:rFonts w:ascii="Verdana" w:hAnsi="Verdana"/>
          <w:sz w:val="20"/>
          <w:szCs w:val="20"/>
        </w:rPr>
      </w:pPr>
      <w:r>
        <w:rPr>
          <w:rFonts w:eastAsia="Times New Roman" w:cs="Times New Roman" w:ascii="Verdana" w:hAnsi="Verdana"/>
          <w:b/>
          <w:bCs/>
          <w:color w:themeColor="text1" w:val="000000"/>
          <w:sz w:val="20"/>
          <w:szCs w:val="20"/>
          <w:lang w:eastAsia="pt-BR"/>
        </w:rPr>
        <w:t>GRUPO 2 - INTERNET E PONTOS DE COMUNICAÇÃO</w:t>
      </w:r>
    </w:p>
    <w:p>
      <w:pPr>
        <w:pStyle w:val="ListParagraph"/>
        <w:spacing w:lineRule="auto" w:line="240" w:before="0" w:after="0"/>
        <w:rPr>
          <w:rFonts w:ascii="Verdana" w:hAnsi="Verdana"/>
          <w:b/>
          <w:bCs/>
          <w:sz w:val="20"/>
          <w:szCs w:val="20"/>
        </w:rPr>
      </w:pPr>
      <w:r>
        <w:rPr>
          <w:rFonts w:ascii="Verdana" w:hAnsi="Verdana"/>
          <w:b/>
          <w:bCs/>
          <w:sz w:val="20"/>
          <w:szCs w:val="20"/>
        </w:rPr>
      </w:r>
    </w:p>
    <w:p>
      <w:pPr>
        <w:pStyle w:val="ListParagraph"/>
        <w:numPr>
          <w:ilvl w:val="1"/>
          <w:numId w:val="1"/>
        </w:numPr>
        <w:tabs>
          <w:tab w:val="clear" w:pos="708"/>
          <w:tab w:val="left" w:pos="513" w:leader="none"/>
        </w:tabs>
        <w:spacing w:lineRule="auto" w:line="240" w:before="0" w:after="0"/>
        <w:ind w:hanging="0" w:left="0"/>
        <w:rPr>
          <w:rFonts w:ascii="Verdana" w:hAnsi="Verdana"/>
          <w:sz w:val="20"/>
          <w:szCs w:val="20"/>
        </w:rPr>
      </w:pPr>
      <w:r>
        <w:rPr>
          <w:rFonts w:ascii="Verdana" w:hAnsi="Verdana"/>
          <w:b/>
          <w:bCs/>
          <w:sz w:val="20"/>
          <w:szCs w:val="20"/>
        </w:rPr>
        <w:t>PONTO DE ATENDIMENTO - REDE FIBRA C/ WI-FI</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 xml:space="preserve">O ponto de atendimento deverá disponibilizar roteador Wi-Fi 6 compatível com padrões IEEE 802.11ax/ac/n/a no segmento 2,4 GHz e 5 GHz, com tecnologia MIMO para múltiplos dispositivos simultâneos. </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 xml:space="preserve">A taxa de transferência deve ser compatível com as frequências 2,4 GHz e 5 GHz. </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 xml:space="preserve">Deverá dispor de, no mínimo, uma porta WAN Ethernet de 10/100/1000 Mbps e três portas LAN Ethernet de 10/100/1000 Mbps. </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possuir indicadores luminosos de estado (LED) para facilitar o diagnóstico visual, no mínimo 4 saídas de rede ethernet padrão RJ45 e no mínimo 1 saída SFP;</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segurança deverá contemplar protocolos como WPA3, firewall interno, proteção contra ataques DoS, autenticação PAP/CHAP e filtro para acesso remoto seguro.</w:t>
      </w:r>
    </w:p>
    <w:p>
      <w:pPr>
        <w:pStyle w:val="ListParagraph"/>
        <w:spacing w:lineRule="auto" w:line="240"/>
        <w:rPr>
          <w:rFonts w:ascii="Verdana" w:hAnsi="Verdana"/>
          <w:b/>
          <w:bCs/>
          <w:sz w:val="20"/>
          <w:szCs w:val="20"/>
        </w:rPr>
      </w:pPr>
      <w:r>
        <w:rPr>
          <w:rFonts w:ascii="Verdana" w:hAnsi="Verdana"/>
          <w:b/>
          <w:bCs/>
          <w:sz w:val="20"/>
          <w:szCs w:val="20"/>
        </w:rPr>
      </w:r>
    </w:p>
    <w:p>
      <w:pPr>
        <w:pStyle w:val="ListParagraph"/>
        <w:numPr>
          <w:ilvl w:val="1"/>
          <w:numId w:val="1"/>
        </w:numPr>
        <w:tabs>
          <w:tab w:val="clear" w:pos="708"/>
          <w:tab w:val="left" w:pos="450" w:leader="none"/>
        </w:tabs>
        <w:spacing w:lineRule="auto" w:line="240"/>
        <w:ind w:hanging="0" w:left="0"/>
        <w:rPr>
          <w:rFonts w:ascii="Verdana" w:hAnsi="Verdana"/>
          <w:sz w:val="20"/>
          <w:szCs w:val="20"/>
        </w:rPr>
      </w:pPr>
      <w:r>
        <w:rPr>
          <w:rFonts w:ascii="Verdana" w:hAnsi="Verdana"/>
          <w:b/>
          <w:bCs/>
          <w:sz w:val="20"/>
          <w:szCs w:val="20"/>
        </w:rPr>
        <w:t>PONTO DE WI-FI – PÚBLICO</w:t>
      </w:r>
      <w:r>
        <w:rPr>
          <w:rFonts w:ascii="Verdana" w:hAnsi="Verdana"/>
          <w:sz w:val="20"/>
          <w:szCs w:val="20"/>
        </w:rPr>
        <w:br/>
        <w:t>O equipamento deve ser de Arquitetura outdoor, com conectores e antenas externas MIMO 2x2, 4 setores, para no mínimo 360° graus de cobertura.</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Capacidade de transmissão agregada de até 1,5 Gbps (2 × 750 Mbps).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Operação em faixa de frequência universal 4,9 a 6 GHz, em conformidade com regulamentações ETSI e FCC.</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Latência típica menor que 30ms ponta a ponta.</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Modulações adaptativas: BPSK, QPSK, 16QAM, 64QAM e 256QAM.</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Criptografia mínima AES 128 bits.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Tecnologia de duplexação TDD, com razão de uplink/downlink configurável.</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Sincronização intra e intersite através de GPS integrado.</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Potência minima de transmissão de 20 dBm por rádio/porta.</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Largura de canal configurável: 10, 20, 40 e 80 MHz, com seleção automática entre 20, 40 e 80 MHz.</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Interfaces de dados: 1000BaseT (PoE) e SFP (1GbE full duplex, single/multimodo).</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Capacidade de aprendizado de até 8.000 endereços MAC.</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Suporte a QoS com classificação de pacotes em 4 filas de prioridade (802.1p/Diffserv).</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Suporte a VLAN 802.1Q, QinQ.</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Protocolos de gerenciamento: IPv4/IPv6 dual-stack, SNMP v1/v3, HTTP/HTTPS via navegador, com aplicação NMS compatível.</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Resistência ambiental mínima IP67, suportando temperaturas entre -40°C e +60°C, e 100% de umidade condensing.</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Certificações de segurança: US/CAN (cTUVus), CE/IEC.</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Conformidade EMC: FCC, ETSI, CAN/CSA-CEI/IEC, AS/NZS e ANATEL.</w:t>
      </w:r>
    </w:p>
    <w:p>
      <w:pPr>
        <w:pStyle w:val="Normal"/>
        <w:spacing w:lineRule="auto" w:line="240"/>
        <w:rPr>
          <w:rFonts w:ascii="Verdana" w:hAnsi="Verdana"/>
          <w:sz w:val="20"/>
          <w:szCs w:val="20"/>
        </w:rPr>
      </w:pPr>
      <w:r>
        <w:rPr>
          <w:rFonts w:ascii="Verdana" w:hAnsi="Verdana"/>
          <w:sz w:val="20"/>
          <w:szCs w:val="20"/>
        </w:rPr>
      </w:r>
    </w:p>
    <w:p>
      <w:pPr>
        <w:pStyle w:val="ListParagraph"/>
        <w:numPr>
          <w:ilvl w:val="1"/>
          <w:numId w:val="1"/>
        </w:numPr>
        <w:tabs>
          <w:tab w:val="clear" w:pos="708"/>
          <w:tab w:val="left" w:pos="400" w:leader="none"/>
        </w:tabs>
        <w:spacing w:lineRule="auto" w:line="240" w:before="0" w:after="0"/>
        <w:ind w:hanging="0" w:left="0"/>
        <w:rPr>
          <w:rFonts w:ascii="Verdana" w:hAnsi="Verdana"/>
          <w:sz w:val="20"/>
          <w:szCs w:val="20"/>
        </w:rPr>
      </w:pPr>
      <w:r>
        <w:rPr>
          <w:rFonts w:ascii="Verdana" w:hAnsi="Verdana"/>
          <w:b/>
          <w:bCs/>
          <w:sz w:val="20"/>
          <w:szCs w:val="20"/>
        </w:rPr>
        <w:t>LINK DE INTERNET DEDICADO FULL DUPLEX</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 xml:space="preserve">O link dedicado deverá ser fornecido em regime full duplex, garantindo transmissão e recepção simultânea de dados na mesma taxa de velocidade contratada. </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 xml:space="preserve">Deverá possuir largura de banda fixa, não compartilhada, com garantia mínima de 99% da velocidade contratada, assegurando baixa latência, alta disponibilidade e estabilidade de conexão. </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 xml:space="preserve">O serviço deverá contemplar suporte a endereçamento IP público, compatibilidade com protocolos IPv4 e IPv6, redundância de rota e monitoramento proativo. </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disponibilidade mínima deverá ser de 99,5% mensal, com SLA de atendimento para reparo de falhas críticas. O provedor deverá oferecer suporte técnico especializado 24x7, com canais de atendimento dedicados.</w:t>
      </w:r>
    </w:p>
    <w:p>
      <w:pPr>
        <w:pStyle w:val="ListParagraph"/>
        <w:spacing w:lineRule="auto" w:line="240" w:before="0" w:after="0"/>
        <w:rPr>
          <w:rFonts w:ascii="Verdana" w:hAnsi="Verdana"/>
          <w:sz w:val="20"/>
          <w:szCs w:val="20"/>
        </w:rPr>
      </w:pPr>
      <w:r>
        <w:rPr>
          <w:rFonts w:ascii="Verdana" w:hAnsi="Verdana"/>
          <w:sz w:val="20"/>
          <w:szCs w:val="20"/>
        </w:rPr>
      </w:r>
    </w:p>
    <w:p>
      <w:pPr>
        <w:pStyle w:val="ListParagraph"/>
        <w:numPr>
          <w:ilvl w:val="1"/>
          <w:numId w:val="1"/>
        </w:numPr>
        <w:spacing w:lineRule="auto" w:line="240" w:before="0" w:after="0"/>
        <w:ind w:hanging="0" w:left="0"/>
        <w:rPr>
          <w:rFonts w:ascii="Verdana" w:hAnsi="Verdana"/>
          <w:sz w:val="20"/>
          <w:szCs w:val="20"/>
        </w:rPr>
      </w:pPr>
      <w:r>
        <w:rPr>
          <w:rFonts w:ascii="Verdana" w:hAnsi="Verdana"/>
          <w:b/>
          <w:bCs/>
          <w:sz w:val="20"/>
          <w:szCs w:val="20"/>
        </w:rPr>
        <w:t>PONTO ATENDIMENTO - RECEPTOR TIPO CPE 4G/5G</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A CPE deverá possuir capacidade para operar nas frequências utilizadas pelas tecnologias 4G (LTE) e/ou 5G (NR), em conformidade com as faixas homologadas pela Anatel;</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dispor de, no mínimo, 1 slot para SIM Card;</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CPE deverá possuir interface de rede cabeada Ethernet 10/100/1000 Mbps para distribuição do acesso, além de suporte a Wi-Fi dual band (2,4 GHz e 5 GHz), compatível com o padrão IEEE 802.11ac ou superior.</w:t>
      </w:r>
    </w:p>
    <w:p>
      <w:pPr>
        <w:pStyle w:val="Normal"/>
        <w:spacing w:lineRule="auto" w:line="240"/>
        <w:rPr>
          <w:rFonts w:ascii="Verdana" w:hAnsi="Verdana"/>
          <w:sz w:val="20"/>
          <w:szCs w:val="20"/>
        </w:rPr>
      </w:pPr>
      <w:r>
        <w:rPr>
          <w:rFonts w:ascii="Verdana" w:hAnsi="Verdana"/>
          <w:sz w:val="20"/>
          <w:szCs w:val="20"/>
        </w:rPr>
      </w:r>
    </w:p>
    <w:p>
      <w:pPr>
        <w:pStyle w:val="ListParagraph"/>
        <w:numPr>
          <w:ilvl w:val="1"/>
          <w:numId w:val="1"/>
        </w:numPr>
        <w:spacing w:lineRule="auto" w:line="240" w:before="0" w:after="0"/>
        <w:ind w:hanging="0" w:left="0"/>
        <w:rPr>
          <w:rFonts w:ascii="Verdana" w:hAnsi="Verdana"/>
          <w:sz w:val="20"/>
          <w:szCs w:val="20"/>
        </w:rPr>
      </w:pPr>
      <w:r>
        <w:rPr>
          <w:rFonts w:ascii="Verdana" w:hAnsi="Verdana"/>
          <w:b/>
          <w:bCs/>
          <w:sz w:val="20"/>
          <w:szCs w:val="20"/>
        </w:rPr>
        <w:t>PONTO ATENDIMENTO - RECEPTOR TIPO CPE USB 4G/5G</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A CPE deverá possuir capacidade para operar nas frequências utilizadas pelas tecnologias 4G (LTE) e/ou 5G (NR), em conformidade com as faixas homologadas pela Anatel;</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equipamento deverá dispor de, no mínimo, 1 slot para SIM Card e uma porta USB-A e/ou C para ligar ao equipamento do usuário.</w:t>
      </w:r>
    </w:p>
    <w:p>
      <w:pPr>
        <w:pStyle w:val="ListParagraph"/>
        <w:spacing w:lineRule="auto" w:line="240" w:before="0" w:after="0"/>
        <w:ind w:left="360"/>
        <w:contextualSpacing/>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bCs/>
          <w:color w:themeColor="text1" w:val="000000"/>
          <w:sz w:val="20"/>
          <w:szCs w:val="20"/>
          <w:lang w:eastAsia="pt-BR"/>
        </w:rPr>
        <w:t>GRUPO 3 - SERVIÇO FWA</w:t>
      </w:r>
    </w:p>
    <w:p>
      <w:pPr>
        <w:pStyle w:val="Normal"/>
        <w:spacing w:lineRule="auto" w:line="240"/>
        <w:rPr>
          <w:rFonts w:ascii="Verdana" w:hAnsi="Verdana"/>
          <w:sz w:val="20"/>
          <w:szCs w:val="20"/>
          <w:lang w:eastAsia="pt-BR"/>
        </w:rPr>
      </w:pPr>
      <w:r>
        <w:rPr>
          <w:rFonts w:ascii="Verdana" w:hAnsi="Verdana"/>
          <w:sz w:val="20"/>
          <w:szCs w:val="20"/>
          <w:lang w:eastAsia="pt-BR"/>
        </w:rPr>
      </w:r>
    </w:p>
    <w:p>
      <w:pPr>
        <w:pStyle w:val="ListParagraph"/>
        <w:numPr>
          <w:ilvl w:val="1"/>
          <w:numId w:val="1"/>
        </w:numPr>
        <w:tabs>
          <w:tab w:val="clear" w:pos="708"/>
          <w:tab w:val="left" w:pos="400" w:leader="none"/>
        </w:tabs>
        <w:spacing w:lineRule="auto" w:line="240" w:before="0" w:after="0"/>
        <w:ind w:hanging="0" w:left="0"/>
        <w:rPr>
          <w:rFonts w:ascii="Verdana" w:hAnsi="Verdana"/>
          <w:sz w:val="20"/>
          <w:szCs w:val="20"/>
        </w:rPr>
      </w:pPr>
      <w:r>
        <w:rPr>
          <w:rFonts w:ascii="Verdana" w:hAnsi="Verdana"/>
          <w:b/>
          <w:bCs/>
          <w:sz w:val="20"/>
          <w:szCs w:val="20"/>
        </w:rPr>
        <w:t>PACOTE DE DADOS 4G/5G – FWA</w:t>
      </w:r>
    </w:p>
    <w:p>
      <w:pPr>
        <w:pStyle w:val="ListParagraph"/>
        <w:numPr>
          <w:ilvl w:val="2"/>
          <w:numId w:val="1"/>
        </w:numPr>
        <w:spacing w:lineRule="auto" w:line="240" w:before="0" w:after="0"/>
        <w:ind w:hanging="0" w:left="0"/>
        <w:jc w:val="both"/>
        <w:rPr>
          <w:rFonts w:ascii="Verdana" w:hAnsi="Verdana"/>
          <w:sz w:val="20"/>
          <w:szCs w:val="20"/>
        </w:rPr>
      </w:pPr>
      <w:r>
        <w:rPr>
          <w:rFonts w:ascii="Verdana" w:hAnsi="Verdana"/>
          <w:sz w:val="20"/>
          <w:szCs w:val="20"/>
        </w:rPr>
        <w:t>As velocidades ofertadas deverão ser compatíveis com aquelas disponíveis nas tecnologias 4G e/ou 5G;</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A franquia de dados mensal está limitado a cada tipo de pacote;</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fornecimento deverá incluir SIM Card com perfil elétrico, devidamente habilitado.</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serviço deverá contemplar acesso a plataforma para gestão e ativação das linhas e dos SIM Cards, permitindo controle de uso, disponibilidade de bloqueio e suspensão.</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Não haverá necessidade de fornecimento de numeração telefônica, tendo em vista que se trata de serviço FWA (Fixed Wireless Access);</w:t>
      </w:r>
    </w:p>
    <w:p>
      <w:pPr>
        <w:pStyle w:val="ListParagraph"/>
        <w:numPr>
          <w:ilvl w:val="2"/>
          <w:numId w:val="1"/>
        </w:numPr>
        <w:spacing w:lineRule="auto" w:line="240" w:before="0" w:after="0"/>
        <w:ind w:hanging="0" w:left="0"/>
        <w:contextualSpacing/>
        <w:jc w:val="both"/>
        <w:rPr>
          <w:rFonts w:ascii="Verdana" w:hAnsi="Verdana"/>
          <w:sz w:val="20"/>
          <w:szCs w:val="20"/>
        </w:rPr>
      </w:pPr>
      <w:r>
        <w:rPr>
          <w:rFonts w:ascii="Verdana" w:hAnsi="Verdana"/>
          <w:sz w:val="20"/>
          <w:szCs w:val="20"/>
        </w:rPr>
        <w:t>O serviço poderá ser prestado via SMP, SMP Credenciado de Rede Virtual (MVNO), SLP ou SCM, desde que observadas as normas vigentes da Anatel.</w:t>
      </w:r>
    </w:p>
    <w:p>
      <w:pPr>
        <w:pStyle w:val="ListParagraph"/>
        <w:spacing w:lineRule="auto" w:line="240" w:before="240" w:after="160"/>
        <w:ind w:left="0"/>
        <w:contextualSpacing/>
        <w:jc w:val="both"/>
        <w:rPr>
          <w:rFonts w:ascii="Verdana" w:hAnsi="Verdana"/>
          <w:sz w:val="20"/>
          <w:szCs w:val="20"/>
        </w:rPr>
      </w:pPr>
      <w:r>
        <w:rPr>
          <w:rFonts w:ascii="Verdana" w:hAnsi="Verdana"/>
          <w:sz w:val="20"/>
          <w:szCs w:val="20"/>
        </w:rPr>
      </w:r>
    </w:p>
    <w:p>
      <w:pPr>
        <w:pStyle w:val="Normal"/>
        <w:numPr>
          <w:ilvl w:val="1"/>
          <w:numId w:val="1"/>
        </w:numPr>
        <w:tabs>
          <w:tab w:val="clear" w:pos="708"/>
          <w:tab w:val="left" w:pos="400" w:leader="none"/>
          <w:tab w:val="left" w:pos="625" w:leader="none"/>
        </w:tabs>
        <w:spacing w:lineRule="auto" w:line="240"/>
        <w:ind w:hanging="0" w:left="0"/>
        <w:rPr>
          <w:rFonts w:ascii="Verdana" w:hAnsi="Verdana"/>
          <w:sz w:val="20"/>
          <w:szCs w:val="20"/>
        </w:rPr>
      </w:pPr>
      <w:r>
        <w:rPr>
          <w:rFonts w:ascii="Verdana" w:hAnsi="Verdana"/>
          <w:b/>
          <w:bCs/>
          <w:sz w:val="20"/>
          <w:szCs w:val="20"/>
        </w:rPr>
        <w:t>VISITA TÉCNICA</w:t>
      </w:r>
    </w:p>
    <w:p>
      <w:pPr>
        <w:pStyle w:val="Normal"/>
        <w:numPr>
          <w:ilvl w:val="2"/>
          <w:numId w:val="1"/>
        </w:numPr>
        <w:spacing w:lineRule="auto" w:line="240" w:before="0" w:after="0"/>
        <w:ind w:hanging="0" w:left="0"/>
        <w:contextualSpacing/>
        <w:jc w:val="both"/>
        <w:rPr>
          <w:rFonts w:ascii="Verdana" w:hAnsi="Verdana"/>
          <w:sz w:val="20"/>
          <w:szCs w:val="20"/>
        </w:rPr>
      </w:pPr>
      <w:r>
        <w:rPr>
          <w:rFonts w:eastAsia="Calibri" w:ascii="Verdana" w:hAnsi="Verdana"/>
          <w:sz w:val="20"/>
          <w:szCs w:val="20"/>
          <w:lang w:eastAsia="pt-BR"/>
        </w:rPr>
        <w:t xml:space="preserve">Não se exigirá que a licitante realize vistoria do local de realização do serviço, logo, caso seja do interesse da mesma, deverá ser agendado com o Coordenador do Núcleo de Tecnologia da Informação e Comunicação (Rômulo Sartori Camilo). </w:t>
      </w:r>
    </w:p>
    <w:p>
      <w:pPr>
        <w:pStyle w:val="Normal"/>
        <w:numPr>
          <w:ilvl w:val="2"/>
          <w:numId w:val="1"/>
        </w:numPr>
        <w:spacing w:lineRule="auto" w:line="240" w:before="0" w:after="0"/>
        <w:ind w:hanging="0" w:left="0"/>
        <w:contextualSpacing/>
        <w:jc w:val="both"/>
        <w:rPr>
          <w:rFonts w:ascii="Verdana" w:hAnsi="Verdana"/>
          <w:sz w:val="20"/>
          <w:szCs w:val="20"/>
        </w:rPr>
      </w:pPr>
      <w:r>
        <w:rPr>
          <w:rFonts w:eastAsia="Calibri" w:ascii="Verdana" w:hAnsi="Verdana"/>
          <w:sz w:val="20"/>
          <w:szCs w:val="20"/>
          <w:lang w:eastAsia="pt-BR"/>
        </w:rPr>
        <w:t>Deve-se agendar a visita no prazo máximo de 3 (três) dias antes da data marcada para abertura do certame. Horário de atendimento ao público 12:00 ás 18:00 de segunda a quinta-feira, as sextas-feiras 07:00 ás 13:00.</w:t>
      </w:r>
    </w:p>
    <w:p>
      <w:pPr>
        <w:pStyle w:val="Normal"/>
        <w:spacing w:lineRule="auto" w:line="240"/>
        <w:jc w:val="both"/>
        <w:rPr>
          <w:rFonts w:ascii="Verdana" w:hAnsi="Verdana"/>
          <w:sz w:val="20"/>
          <w:szCs w:val="20"/>
          <w:shd w:fill="FFFF00" w:val="clear"/>
        </w:rPr>
      </w:pPr>
      <w:r>
        <w:rPr>
          <w:rFonts w:ascii="Verdana" w:hAnsi="Verdana"/>
          <w:sz w:val="20"/>
          <w:szCs w:val="20"/>
          <w:shd w:fill="FFFF00" w:val="clear"/>
        </w:rPr>
      </w:r>
    </w:p>
    <w:p>
      <w:pPr>
        <w:pStyle w:val="Normal"/>
        <w:spacing w:lineRule="auto" w:line="240"/>
        <w:jc w:val="both"/>
        <w:rPr>
          <w:rFonts w:ascii="Verdana" w:hAnsi="Verdana"/>
          <w:sz w:val="20"/>
          <w:szCs w:val="20"/>
          <w:shd w:fill="FFFF00" w:val="clear"/>
        </w:rPr>
      </w:pPr>
      <w:r>
        <w:rPr>
          <w:rFonts w:ascii="Verdana" w:hAnsi="Verdana"/>
          <w:sz w:val="20"/>
          <w:szCs w:val="20"/>
          <w:shd w:fill="FFFF00" w:val="clear"/>
        </w:rPr>
      </w:r>
    </w:p>
    <w:p>
      <w:pPr>
        <w:pStyle w:val="Normal"/>
        <w:numPr>
          <w:ilvl w:val="1"/>
          <w:numId w:val="1"/>
        </w:numPr>
        <w:tabs>
          <w:tab w:val="clear" w:pos="708"/>
          <w:tab w:val="left" w:pos="400" w:leader="none"/>
          <w:tab w:val="left" w:pos="563" w:leader="none"/>
        </w:tabs>
        <w:spacing w:lineRule="auto" w:line="240"/>
        <w:ind w:hanging="0" w:left="0"/>
        <w:rPr>
          <w:rFonts w:ascii="Verdana" w:hAnsi="Verdana"/>
          <w:sz w:val="20"/>
          <w:szCs w:val="20"/>
        </w:rPr>
      </w:pPr>
      <w:r>
        <w:rPr>
          <w:rFonts w:cs="Arial" w:ascii="Verdana" w:hAnsi="Verdana"/>
          <w:b/>
          <w:bCs/>
          <w:sz w:val="20"/>
          <w:szCs w:val="20"/>
        </w:rPr>
        <w:t>QUALIFICAÇÃO TÉCNICA</w:t>
      </w:r>
    </w:p>
    <w:p>
      <w:pPr>
        <w:pStyle w:val="Normal"/>
        <w:numPr>
          <w:ilvl w:val="2"/>
          <w:numId w:val="1"/>
        </w:numPr>
        <w:spacing w:lineRule="auto" w:line="240"/>
        <w:ind w:hanging="0" w:left="0"/>
        <w:jc w:val="both"/>
        <w:rPr>
          <w:rFonts w:ascii="Verdana" w:hAnsi="Verdana"/>
          <w:sz w:val="20"/>
          <w:szCs w:val="20"/>
        </w:rPr>
      </w:pPr>
      <w:r>
        <w:rPr>
          <w:rFonts w:cs="Arial" w:ascii="Verdana" w:hAnsi="Verdana"/>
          <w:sz w:val="20"/>
          <w:szCs w:val="20"/>
        </w:rPr>
        <w:t xml:space="preserve"> </w:t>
      </w:r>
      <w:r>
        <w:rPr>
          <w:rFonts w:cs="Arial" w:ascii="Verdana" w:hAnsi="Verdana"/>
          <w:sz w:val="20"/>
          <w:szCs w:val="20"/>
        </w:rPr>
        <w:t xml:space="preserve">Certidão de Registro ou comprovante de inscrição da empresa e do(s) responsável (is) técnico(s) no Conselho Regional de Engenharia – CREA ou outro conselho de classe competente, da região da sede da empresa, em plena validade, e que seja de sua atribuição e competência os serviços objeto deste Estudo Técnico Preliminar. </w:t>
      </w:r>
      <w:r>
        <w:rPr>
          <w:rFonts w:cs="Arial" w:ascii="Verdana" w:hAnsi="Verdana"/>
          <w:b/>
          <w:bCs/>
          <w:sz w:val="20"/>
          <w:szCs w:val="20"/>
        </w:rPr>
        <w:t>(de acordo com o Acórdão 01505/2020-4 - 1ª Câmara TCE/ES</w:t>
      </w:r>
    </w:p>
    <w:p>
      <w:pPr>
        <w:pStyle w:val="Normal"/>
        <w:numPr>
          <w:ilvl w:val="2"/>
          <w:numId w:val="1"/>
        </w:numPr>
        <w:spacing w:lineRule="auto" w:line="240"/>
        <w:ind w:hanging="0" w:left="0"/>
        <w:jc w:val="both"/>
        <w:rPr>
          <w:rFonts w:ascii="Verdana" w:hAnsi="Verdana"/>
          <w:sz w:val="20"/>
          <w:szCs w:val="20"/>
        </w:rPr>
      </w:pPr>
      <w:r>
        <w:rPr>
          <w:rFonts w:cs="Arial" w:ascii="Verdana" w:hAnsi="Verdana"/>
          <w:b/>
          <w:bCs/>
          <w:sz w:val="20"/>
          <w:szCs w:val="20"/>
        </w:rPr>
        <w:t xml:space="preserve"> </w:t>
      </w:r>
      <w:r>
        <w:rPr>
          <w:rFonts w:cs="Arial" w:ascii="Verdana" w:hAnsi="Verdana"/>
          <w:sz w:val="20"/>
          <w:szCs w:val="20"/>
        </w:rPr>
        <w:t xml:space="preserve">Comprovação da qualificação técnico-operacional e qualificação técnico-profissional da licitante, com no mínimo 1 (um) ano de experiência mediante apresentação de atestado(s) fornecido(s) por pessoa(s) jurídica(s) de direito público ou privado, registrado e acompanhado da CAO (Certidão de Acervo Operacional) demonstrando aptidão para desempenho de atividades pertinentes e compatíveis em características, quantidades e prazos com o objeto do presente ETP / Termo de Referência, comprovando que executa ou executou os serviços de: </w:t>
      </w:r>
      <w:r>
        <w:rPr>
          <w:rFonts w:cs="Arial" w:ascii="Verdana" w:hAnsi="Verdana"/>
          <w:b/>
          <w:bCs/>
          <w:sz w:val="20"/>
          <w:szCs w:val="20"/>
        </w:rPr>
        <w:t>(tal solicitação encontra-se amparada na lei 14.133/2021 no art. 67, II e § 5º).</w:t>
      </w:r>
    </w:p>
    <w:p>
      <w:pPr>
        <w:pStyle w:val="Normal"/>
        <w:numPr>
          <w:ilvl w:val="2"/>
          <w:numId w:val="1"/>
        </w:numPr>
        <w:spacing w:lineRule="auto" w:line="240"/>
        <w:ind w:hanging="0" w:left="0"/>
        <w:jc w:val="both"/>
        <w:rPr>
          <w:rFonts w:ascii="Verdana" w:hAnsi="Verdana"/>
          <w:sz w:val="20"/>
          <w:szCs w:val="20"/>
        </w:rPr>
      </w:pPr>
      <w:r>
        <w:rPr>
          <w:rFonts w:ascii="Verdana" w:hAnsi="Verdana"/>
          <w:color w:val="000009"/>
          <w:sz w:val="20"/>
          <w:szCs w:val="20"/>
        </w:rPr>
        <w:t>Para fins de qualificação técnico-operacional, será exigida a apresentação de atestado devidamente registrado no CREA, comprovando a execução de, no mínimo, 3% (três por cento) do quantitativo total de câmeras.</w:t>
      </w:r>
      <w:r>
        <w:rPr>
          <w:rFonts w:cs="Calibri" w:ascii="Verdana" w:hAnsi="Verdana"/>
          <w:color w:val="000009"/>
          <w:sz w:val="20"/>
          <w:szCs w:val="20"/>
        </w:rPr>
        <w:t xml:space="preserve"> </w:t>
      </w:r>
    </w:p>
    <w:p>
      <w:pPr>
        <w:pStyle w:val="Normal"/>
        <w:numPr>
          <w:ilvl w:val="2"/>
          <w:numId w:val="1"/>
        </w:numPr>
        <w:spacing w:lineRule="auto" w:line="240"/>
        <w:ind w:hanging="0" w:left="0"/>
        <w:jc w:val="both"/>
        <w:rPr>
          <w:rFonts w:ascii="Verdana" w:hAnsi="Verdana"/>
          <w:sz w:val="20"/>
          <w:szCs w:val="20"/>
        </w:rPr>
      </w:pPr>
      <w:r>
        <w:rPr>
          <w:rFonts w:cs="Calibri" w:ascii="Verdana" w:hAnsi="Verdana"/>
          <w:color w:val="000009"/>
          <w:sz w:val="20"/>
          <w:szCs w:val="20"/>
        </w:rPr>
        <w:t>Autorização para Exploração de Serviço de Comunicação Multimidia – SCM da Anatel (Agência Nacional de Telecomunicações).</w:t>
      </w:r>
    </w:p>
    <w:p>
      <w:pPr>
        <w:pStyle w:val="ListParagraph"/>
        <w:widowControl w:val="false"/>
        <w:numPr>
          <w:ilvl w:val="2"/>
          <w:numId w:val="1"/>
        </w:numPr>
        <w:tabs>
          <w:tab w:val="clear" w:pos="708"/>
          <w:tab w:val="left" w:pos="426" w:leader="none"/>
        </w:tabs>
        <w:spacing w:lineRule="auto" w:line="240" w:before="0" w:after="0"/>
        <w:ind w:hanging="0" w:left="0"/>
        <w:jc w:val="both"/>
        <w:rPr>
          <w:rFonts w:ascii="Verdana" w:hAnsi="Verdana"/>
          <w:sz w:val="20"/>
          <w:szCs w:val="20"/>
        </w:rPr>
      </w:pPr>
      <w:r>
        <w:rPr>
          <w:rFonts w:ascii="Verdana" w:hAnsi="Verdana"/>
          <w:color w:val="000009"/>
          <w:sz w:val="20"/>
          <w:szCs w:val="20"/>
        </w:rPr>
        <w:t>Autorização de uso da(s) radiofrequência(s) compatíveis com 4G/5G em caráter primário ou secundário - da Anatel (Agência Nacional de Telecomunicações).</w:t>
      </w:r>
    </w:p>
    <w:p>
      <w:pPr>
        <w:pStyle w:val="ListParagraph"/>
        <w:widowControl w:val="false"/>
        <w:numPr>
          <w:ilvl w:val="2"/>
          <w:numId w:val="1"/>
        </w:numPr>
        <w:tabs>
          <w:tab w:val="clear" w:pos="708"/>
          <w:tab w:val="left" w:pos="426" w:leader="none"/>
        </w:tabs>
        <w:spacing w:lineRule="auto" w:line="240" w:before="0" w:after="0"/>
        <w:ind w:hanging="0" w:left="0"/>
        <w:jc w:val="both"/>
        <w:rPr>
          <w:rFonts w:ascii="Verdana" w:hAnsi="Verdana"/>
          <w:sz w:val="20"/>
          <w:szCs w:val="20"/>
        </w:rPr>
      </w:pPr>
      <w:r>
        <w:rPr>
          <w:rFonts w:ascii="Verdana" w:hAnsi="Verdana"/>
          <w:color w:val="000009"/>
          <w:sz w:val="20"/>
          <w:szCs w:val="20"/>
        </w:rPr>
        <w:t>Autorização para Exploração de Serviço Móvel Pessoal - SMP ou Termo de homologação de Contrato para Exploração de Serviço Móvel Pessoal - SMP por meio de Rede Virtual ou Credenciada (Resolução n.º 550, de 22 de novembro de 2010).</w:t>
      </w:r>
    </w:p>
    <w:p>
      <w:pPr>
        <w:pStyle w:val="ListParagraph"/>
        <w:widowControl w:val="false"/>
        <w:numPr>
          <w:ilvl w:val="2"/>
          <w:numId w:val="1"/>
        </w:numPr>
        <w:tabs>
          <w:tab w:val="clear" w:pos="708"/>
          <w:tab w:val="left" w:pos="426" w:leader="none"/>
        </w:tabs>
        <w:spacing w:lineRule="auto" w:line="240" w:before="0" w:after="0"/>
        <w:ind w:hanging="0" w:left="0"/>
        <w:jc w:val="both"/>
        <w:rPr>
          <w:rFonts w:ascii="Verdana" w:hAnsi="Verdana"/>
          <w:sz w:val="20"/>
          <w:szCs w:val="20"/>
        </w:rPr>
      </w:pPr>
      <w:r>
        <w:rPr>
          <w:rFonts w:ascii="Verdana" w:hAnsi="Verdana"/>
          <w:sz w:val="20"/>
          <w:szCs w:val="20"/>
        </w:rPr>
        <w:t xml:space="preserve">Certidões de Acervo Técnico – CAT do profissional responsável técnico indicando que os serviços executados sejam compatíveis com o objeto da licitação. A CAT deverá ser devidamente averbada pelo conselho competente e estar </w:t>
      </w:r>
      <w:bookmarkStart w:id="0" w:name="_GoBack"/>
      <w:bookmarkEnd w:id="0"/>
      <w:r>
        <w:rPr>
          <w:rFonts w:ascii="Verdana" w:hAnsi="Verdana"/>
          <w:sz w:val="20"/>
          <w:szCs w:val="20"/>
        </w:rPr>
        <w:t>acompanhada do respectivo atestado de capacidade técnica;</w:t>
      </w:r>
    </w:p>
    <w:p>
      <w:pPr>
        <w:pStyle w:val="Normal"/>
        <w:suppressAutoHyphens w:val="false"/>
        <w:spacing w:lineRule="auto" w:line="240"/>
        <w:jc w:val="both"/>
        <w:rPr>
          <w:rFonts w:ascii="Verdana" w:hAnsi="Verdana"/>
          <w:sz w:val="20"/>
          <w:szCs w:val="20"/>
          <w:shd w:fill="FFFF00" w:val="clear"/>
        </w:rPr>
      </w:pPr>
      <w:r>
        <w:rPr>
          <w:rFonts w:ascii="Verdana" w:hAnsi="Verdana"/>
          <w:sz w:val="20"/>
          <w:szCs w:val="20"/>
          <w:shd w:fill="FFFF00" w:val="clear"/>
        </w:rPr>
      </w:r>
    </w:p>
    <w:p>
      <w:pPr>
        <w:pStyle w:val="Normal"/>
        <w:suppressAutoHyphens w:val="false"/>
        <w:spacing w:lineRule="auto" w:line="240"/>
        <w:jc w:val="both"/>
        <w:rPr>
          <w:rFonts w:ascii="Verdana" w:hAnsi="Verdana"/>
          <w:sz w:val="20"/>
          <w:szCs w:val="20"/>
          <w:shd w:fill="FFFF00" w:val="clear"/>
        </w:rPr>
      </w:pPr>
      <w:r>
        <w:rPr>
          <w:rFonts w:ascii="Verdana" w:hAnsi="Verdana"/>
          <w:sz w:val="20"/>
          <w:szCs w:val="20"/>
          <w:shd w:fill="FFFF00" w:val="clear"/>
        </w:rPr>
      </w:r>
    </w:p>
    <w:p>
      <w:pPr>
        <w:pStyle w:val="Normal"/>
        <w:suppressAutoHyphens w:val="false"/>
        <w:spacing w:lineRule="auto" w:line="240"/>
        <w:jc w:val="both"/>
        <w:rPr>
          <w:rFonts w:ascii="Verdana" w:hAnsi="Verdana"/>
          <w:sz w:val="20"/>
          <w:szCs w:val="20"/>
          <w:shd w:fill="FFFF00" w:val="clear"/>
        </w:rPr>
      </w:pPr>
      <w:r>
        <w:rPr>
          <w:rFonts w:ascii="Verdana" w:hAnsi="Verdana"/>
          <w:sz w:val="20"/>
          <w:szCs w:val="20"/>
          <w:shd w:fill="FFFF00" w:val="clear"/>
        </w:rPr>
      </w:r>
    </w:p>
    <w:p>
      <w:pPr>
        <w:pStyle w:val="Normal"/>
        <w:suppressAutoHyphens w:val="false"/>
        <w:spacing w:lineRule="auto" w:line="240"/>
        <w:jc w:val="both"/>
        <w:rPr>
          <w:rFonts w:ascii="Verdana" w:hAnsi="Verdana"/>
          <w:sz w:val="20"/>
          <w:szCs w:val="20"/>
        </w:rPr>
      </w:pPr>
      <w:r>
        <w:rPr>
          <w:rFonts w:cs="Arial" w:ascii="Verdana" w:hAnsi="Verdana"/>
          <w:b/>
          <w:sz w:val="20"/>
          <w:szCs w:val="20"/>
        </w:rPr>
        <w:t>9. ESTIMATIVA DO VALOR DA CONTRATAÇÃO:</w:t>
      </w:r>
    </w:p>
    <w:p>
      <w:pPr>
        <w:pStyle w:val="Normal"/>
        <w:spacing w:lineRule="auto" w:line="240"/>
        <w:jc w:val="both"/>
        <w:rPr>
          <w:rFonts w:ascii="Verdana" w:hAnsi="Verdana"/>
          <w:sz w:val="20"/>
          <w:szCs w:val="20"/>
        </w:rPr>
      </w:pPr>
      <w:r>
        <w:rPr>
          <w:rFonts w:eastAsia="Arial" w:cs="Arial" w:ascii="Verdana" w:hAnsi="Verdana"/>
          <w:b/>
          <w:sz w:val="20"/>
          <w:szCs w:val="20"/>
        </w:rPr>
        <w:t xml:space="preserve">9.1 </w:t>
      </w:r>
      <w:r>
        <w:rPr>
          <w:rFonts w:cs="Arial" w:ascii="Verdana" w:hAnsi="Verdana"/>
          <w:color w:val="000000"/>
          <w:sz w:val="20"/>
          <w:szCs w:val="20"/>
        </w:rPr>
        <w:t>Conforme preceitua o Decreto n° 3.268/2022 que regulamenta o Procedimento Administrativo para Pesquisa de Preço para Aquisição de Bens e Contratação de Serviços em Geral, no Âmbito da Administração Pública Direta e Indireta do Município de São Gabriel da Palha-ES.</w:t>
      </w:r>
    </w:p>
    <w:p>
      <w:pPr>
        <w:pStyle w:val="Normal"/>
        <w:spacing w:lineRule="auto" w:line="240"/>
        <w:jc w:val="both"/>
        <w:rPr>
          <w:rFonts w:ascii="Verdana" w:hAnsi="Verdana"/>
          <w:sz w:val="20"/>
          <w:szCs w:val="20"/>
        </w:rPr>
      </w:pPr>
      <w:r>
        <w:rPr>
          <w:rFonts w:cs="Arial" w:ascii="Verdana" w:hAnsi="Verdana"/>
          <w:b/>
          <w:bCs/>
          <w:color w:val="000000"/>
          <w:sz w:val="20"/>
          <w:szCs w:val="20"/>
        </w:rPr>
        <w:t xml:space="preserve">9.2. </w:t>
      </w:r>
      <w:r>
        <w:rPr>
          <w:rFonts w:cs="Arial" w:ascii="Verdana" w:hAnsi="Verdana"/>
          <w:color w:val="000000"/>
          <w:sz w:val="20"/>
          <w:szCs w:val="20"/>
        </w:rPr>
        <w:t xml:space="preserve">Conforme </w:t>
      </w:r>
      <w:r>
        <w:rPr>
          <w:rFonts w:ascii="Verdana" w:hAnsi="Verdana"/>
          <w:sz w:val="20"/>
          <w:szCs w:val="20"/>
        </w:rPr>
        <w:t>os requisitos estabelecidos para a contratação, foi realizada pesquisa de mercado no Mercado Local e/ou Portal Nacional de Compras Públicas (PNCP) e/ou Contratos/Atas Vigentes do Município, para mapear as soluções disponíveis.</w:t>
      </w:r>
    </w:p>
    <w:p>
      <w:pPr>
        <w:pStyle w:val="Normal"/>
        <w:spacing w:lineRule="auto" w:line="240"/>
        <w:jc w:val="both"/>
        <w:rPr>
          <w:rFonts w:ascii="Verdana" w:hAnsi="Verdana"/>
          <w:sz w:val="20"/>
          <w:szCs w:val="20"/>
        </w:rPr>
      </w:pPr>
      <w:r>
        <w:rPr>
          <w:rFonts w:ascii="Verdana" w:hAnsi="Verdana"/>
          <w:sz w:val="20"/>
          <w:szCs w:val="20"/>
        </w:rPr>
      </w:r>
    </w:p>
    <w:p>
      <w:pPr>
        <w:pStyle w:val="Normal"/>
        <w:suppressAutoHyphens w:val="false"/>
        <w:spacing w:lineRule="auto" w:line="240"/>
        <w:jc w:val="both"/>
        <w:rPr>
          <w:rFonts w:ascii="Verdana" w:hAnsi="Verdana"/>
          <w:sz w:val="20"/>
          <w:szCs w:val="20"/>
        </w:rPr>
      </w:pPr>
      <w:r>
        <w:rPr>
          <w:rFonts w:cs="Arial" w:ascii="Verdana" w:hAnsi="Verdana"/>
          <w:b/>
          <w:bCs/>
          <w:sz w:val="20"/>
          <w:szCs w:val="20"/>
        </w:rPr>
        <w:t>9.4 O valor estimado da contratação em tela é de R$ 19.610.003,64</w:t>
      </w:r>
      <w:r>
        <w:rPr>
          <w:rFonts w:eastAsia="Arial" w:cs="Arial" w:ascii="Verdana" w:hAnsi="Verdana"/>
          <w:b/>
          <w:bCs/>
          <w:color w:val="000000"/>
          <w:sz w:val="20"/>
          <w:szCs w:val="20"/>
        </w:rPr>
        <w:t xml:space="preserve"> </w:t>
      </w:r>
      <w:r>
        <w:rPr>
          <w:rFonts w:cs="Arial" w:ascii="Verdana" w:hAnsi="Verdana"/>
          <w:b/>
          <w:bCs/>
          <w:sz w:val="20"/>
          <w:szCs w:val="20"/>
        </w:rPr>
        <w:t>constante da planilha na planilha que se segue.</w:t>
      </w:r>
    </w:p>
    <w:p>
      <w:pPr>
        <w:pStyle w:val="Normal"/>
        <w:suppressAutoHyphens w:val="false"/>
        <w:spacing w:lineRule="auto" w:line="240"/>
        <w:jc w:val="both"/>
        <w:rPr>
          <w:rFonts w:ascii="Verdana" w:hAnsi="Verdana" w:cs="Arial"/>
          <w:b/>
          <w:sz w:val="20"/>
          <w:szCs w:val="20"/>
        </w:rPr>
      </w:pPr>
      <w:r>
        <w:rPr>
          <w:rFonts w:cs="Arial" w:ascii="Verdana" w:hAnsi="Verdana"/>
          <w:b/>
          <w:sz w:val="20"/>
          <w:szCs w:val="20"/>
        </w:rPr>
      </w:r>
    </w:p>
    <w:tbl>
      <w:tblPr>
        <w:tblStyle w:val="8"/>
        <w:tblW w:w="9804" w:type="dxa"/>
        <w:jc w:val="left"/>
        <w:tblInd w:w="75" w:type="dxa"/>
        <w:tblLayout w:type="fixed"/>
        <w:tblCellMar>
          <w:top w:w="0" w:type="dxa"/>
          <w:left w:w="70" w:type="dxa"/>
          <w:bottom w:w="0" w:type="dxa"/>
          <w:right w:w="70" w:type="dxa"/>
        </w:tblCellMar>
      </w:tblPr>
      <w:tblGrid>
        <w:gridCol w:w="644"/>
        <w:gridCol w:w="4074"/>
        <w:gridCol w:w="969"/>
        <w:gridCol w:w="1241"/>
        <w:gridCol w:w="1255"/>
        <w:gridCol w:w="1620"/>
      </w:tblGrid>
      <w:tr>
        <w:trPr>
          <w:trHeight w:val="229" w:hRule="atLeast"/>
        </w:trPr>
        <w:tc>
          <w:tcPr>
            <w:tcW w:w="9803" w:type="dxa"/>
            <w:gridSpan w:val="6"/>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bottom"/>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Grupo 1 - Videomonitoramento</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Item</w:t>
            </w:r>
          </w:p>
        </w:tc>
        <w:tc>
          <w:tcPr>
            <w:tcW w:w="40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Descrição</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Unidade</w:t>
            </w:r>
          </w:p>
        </w:tc>
        <w:tc>
          <w:tcPr>
            <w:tcW w:w="1241"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Quantitativo Mensal</w:t>
            </w:r>
          </w:p>
        </w:tc>
        <w:tc>
          <w:tcPr>
            <w:tcW w:w="1255"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kern w:val="0"/>
                <w:sz w:val="20"/>
                <w:szCs w:val="20"/>
              </w:rPr>
              <w:t>Valor Total Unitário</w:t>
            </w:r>
          </w:p>
        </w:tc>
        <w:tc>
          <w:tcPr>
            <w:tcW w:w="162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kern w:val="0"/>
                <w:sz w:val="20"/>
                <w:szCs w:val="20"/>
              </w:rPr>
              <w:t>Valor Total Mensal</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w:t>
            </w:r>
          </w:p>
        </w:tc>
        <w:tc>
          <w:tcPr>
            <w:tcW w:w="40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Central de Videomonitoramento</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4</w:t>
            </w:r>
          </w:p>
        </w:tc>
        <w:tc>
          <w:tcPr>
            <w:tcW w:w="1255"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t>R$ 6.973,38</w:t>
            </w:r>
          </w:p>
        </w:tc>
        <w:tc>
          <w:tcPr>
            <w:tcW w:w="1620" w:type="dxa"/>
            <w:tcBorders>
              <w:top w:val="single" w:sz="4" w:space="0" w:color="000000"/>
              <w:left w:val="single" w:sz="4" w:space="0" w:color="000000"/>
              <w:bottom w:val="single" w:sz="4" w:space="0" w:color="000000"/>
              <w:right w:val="single" w:sz="4" w:space="0" w:color="000000"/>
            </w:tcBorders>
            <w:vAlign w:val="center"/>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R$ 27.893,52</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w:t>
            </w:r>
          </w:p>
        </w:tc>
        <w:tc>
          <w:tcPr>
            <w:tcW w:w="40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Câmera Speed Dome PTZ</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200</w:t>
            </w:r>
          </w:p>
        </w:tc>
        <w:tc>
          <w:tcPr>
            <w:tcW w:w="1255"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val="000000"/>
                <w:kern w:val="0"/>
                <w:sz w:val="20"/>
                <w:szCs w:val="20"/>
                <w:lang w:eastAsia="pt-BR"/>
              </w:rPr>
              <w:t>R$ 2.402,60</w:t>
            </w:r>
          </w:p>
        </w:tc>
        <w:tc>
          <w:tcPr>
            <w:tcW w:w="1620" w:type="dxa"/>
            <w:tcBorders>
              <w:top w:val="single" w:sz="4" w:space="0" w:color="000000"/>
              <w:left w:val="single" w:sz="4" w:space="0" w:color="000000"/>
              <w:bottom w:val="single" w:sz="4" w:space="0" w:color="000000"/>
              <w:right w:val="single" w:sz="4" w:space="0" w:color="000000"/>
            </w:tcBorders>
            <w:vAlign w:val="center"/>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R$ 480.520,00</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3</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Câmera Direcional - Exterior</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300</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val="000000"/>
                <w:kern w:val="0"/>
                <w:sz w:val="20"/>
                <w:szCs w:val="20"/>
                <w:lang w:eastAsia="pt-BR"/>
              </w:rPr>
              <w:t>R$ 405,69</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R$ 121.707,00</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4</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Câmera Direcional - Interior</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300</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val="000000"/>
                <w:kern w:val="0"/>
                <w:sz w:val="20"/>
                <w:szCs w:val="20"/>
                <w:lang w:eastAsia="pt-BR"/>
              </w:rPr>
              <w:t>R$ 202,75</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R$ 60.825,00</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5</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Licença - Reconhecimento Facial</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600</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val="000000"/>
                <w:kern w:val="0"/>
                <w:sz w:val="20"/>
                <w:szCs w:val="20"/>
                <w:lang w:eastAsia="pt-BR"/>
              </w:rPr>
              <w:t>R$ 682,79</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R$ 409.674,00</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6</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Licença - Leitura de Placas</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200</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val="000000"/>
                <w:kern w:val="0"/>
                <w:sz w:val="20"/>
                <w:szCs w:val="20"/>
                <w:lang w:eastAsia="pt-BR"/>
              </w:rPr>
              <w:t>R$ 682,79</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R$ 136.558,00</w:t>
            </w:r>
          </w:p>
        </w:tc>
      </w:tr>
      <w:tr>
        <w:trPr>
          <w:trHeight w:val="229" w:hRule="exac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969"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r>
      <w:tr>
        <w:trPr>
          <w:trHeight w:val="229" w:hRule="atLeast"/>
        </w:trPr>
        <w:tc>
          <w:tcPr>
            <w:tcW w:w="9803" w:type="dxa"/>
            <w:gridSpan w:val="6"/>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bottom"/>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Grupo 2 - Internet e Pontos de Comunicação</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Item</w:t>
            </w:r>
          </w:p>
        </w:tc>
        <w:tc>
          <w:tcPr>
            <w:tcW w:w="40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Descrição</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Unidade</w:t>
            </w:r>
          </w:p>
        </w:tc>
        <w:tc>
          <w:tcPr>
            <w:tcW w:w="1241"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Quantitativo Mensal</w:t>
            </w:r>
          </w:p>
        </w:tc>
        <w:tc>
          <w:tcPr>
            <w:tcW w:w="1255"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kern w:val="0"/>
                <w:sz w:val="20"/>
                <w:szCs w:val="20"/>
              </w:rPr>
              <w:t>Valor Total Mensal</w:t>
            </w:r>
          </w:p>
        </w:tc>
        <w:tc>
          <w:tcPr>
            <w:tcW w:w="162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kern w:val="0"/>
                <w:sz w:val="20"/>
                <w:szCs w:val="20"/>
              </w:rPr>
              <w:t>Valor Total mensal</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w:t>
            </w:r>
          </w:p>
        </w:tc>
        <w:tc>
          <w:tcPr>
            <w:tcW w:w="40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Ponto de Atendimento - Rede Fibra c/ Wi-Fi</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100</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t>R$ 263,15</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R$ 26.315,00</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Ponto de Wi-Fi - Externo</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100</w:t>
            </w:r>
          </w:p>
        </w:tc>
        <w:tc>
          <w:tcPr>
            <w:tcW w:w="1255"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t>R$ 1.320,00</w:t>
            </w:r>
          </w:p>
        </w:tc>
        <w:tc>
          <w:tcPr>
            <w:tcW w:w="1620" w:type="dxa"/>
            <w:tcBorders>
              <w:top w:val="single" w:sz="4" w:space="0" w:color="000000"/>
              <w:left w:val="single" w:sz="4" w:space="0" w:color="000000"/>
              <w:bottom w:val="single" w:sz="4" w:space="0" w:color="000000"/>
              <w:right w:val="single" w:sz="4" w:space="0" w:color="000000"/>
            </w:tcBorders>
            <w:vAlign w:val="center"/>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R$ 132.000,00</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3</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Link de Internet Dedicado Full Duplex</w:t>
            </w:r>
            <w:r>
              <w:rPr>
                <w:rFonts w:ascii="Verdana" w:hAnsi="Verdana"/>
                <w:color w:themeColor="text1" w:val="000000"/>
                <w:kern w:val="0"/>
                <w:sz w:val="20"/>
                <w:szCs w:val="20"/>
                <w:lang w:val="en-US" w:eastAsia="pt-BR"/>
              </w:rPr>
              <w:t xml:space="preserve"> </w:t>
            </w:r>
            <w:r>
              <w:rPr>
                <w:rFonts w:eastAsia="Times New Roman" w:cs="Times New Roman" w:ascii="Verdana" w:hAnsi="Verdana"/>
                <w:color w:themeColor="text1" w:val="000000"/>
                <w:kern w:val="0"/>
                <w:sz w:val="20"/>
                <w:szCs w:val="20"/>
                <w:lang w:val="en-US" w:eastAsia="pt-BR"/>
              </w:rPr>
              <w:t xml:space="preserve"> (5GBPS)</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Gbps</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5</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t>R$ 2.916,69</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R$ 14.583,45</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4</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Ponto Atendimento - Receptor Tipo CPE 4G/5G</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100</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t>R$ 263,15</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R$ 26.315,00</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5</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Ponto Atendimento - Receptor Tipo USB 4G/5G</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2000</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t>R$ 18,90</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R$ 37.800,00</w:t>
            </w:r>
          </w:p>
        </w:tc>
      </w:tr>
      <w:tr>
        <w:trPr>
          <w:trHeight w:val="229" w:hRule="exac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969"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color w:themeColor="text1" w:val="000000"/>
                <w:kern w:val="0"/>
                <w:sz w:val="20"/>
                <w:szCs w:val="20"/>
                <w:lang w:eastAsia="pt-BR"/>
              </w:rPr>
            </w:pPr>
            <w:r>
              <w:rPr>
                <w:rFonts w:ascii="Verdana" w:hAnsi="Verdana"/>
                <w:color w:themeColor="text1" w:val="000000"/>
                <w:kern w:val="0"/>
                <w:sz w:val="20"/>
                <w:szCs w:val="20"/>
                <w:lang w:eastAsia="pt-BR"/>
              </w:rPr>
            </w:r>
          </w:p>
        </w:tc>
      </w:tr>
      <w:tr>
        <w:trPr>
          <w:trHeight w:val="229" w:hRule="atLeast"/>
        </w:trPr>
        <w:tc>
          <w:tcPr>
            <w:tcW w:w="9803" w:type="dxa"/>
            <w:gridSpan w:val="6"/>
            <w:tcBorders>
              <w:top w:val="single" w:sz="4" w:space="0" w:color="000000"/>
              <w:left w:val="single" w:sz="4" w:space="0" w:color="000000"/>
              <w:bottom w:val="single" w:sz="4" w:space="0" w:color="000000"/>
              <w:right w:val="single" w:sz="4" w:space="0" w:color="000000"/>
            </w:tcBorders>
            <w:shd w:color="auto" w:fill="DAE9F7" w:themeFill="text2" w:themeFillTint="1a" w:val="clear"/>
            <w:vAlign w:val="bottom"/>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Grupo 3 - Rede FWA</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Item</w:t>
            </w:r>
          </w:p>
        </w:tc>
        <w:tc>
          <w:tcPr>
            <w:tcW w:w="407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Descrição</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Unidade</w:t>
            </w:r>
          </w:p>
        </w:tc>
        <w:tc>
          <w:tcPr>
            <w:tcW w:w="1241"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themeColor="text1" w:val="000000"/>
                <w:kern w:val="0"/>
                <w:sz w:val="20"/>
                <w:szCs w:val="20"/>
                <w:lang w:eastAsia="pt-BR"/>
              </w:rPr>
              <w:t>Quantitativo Mensal</w:t>
            </w:r>
          </w:p>
        </w:tc>
        <w:tc>
          <w:tcPr>
            <w:tcW w:w="1255" w:type="dxa"/>
            <w:tcBorders>
              <w:top w:val="single" w:sz="4" w:space="0" w:color="000000"/>
              <w:left w:val="single" w:sz="4" w:space="0" w:color="000000"/>
              <w:bottom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kern w:val="0"/>
                <w:sz w:val="20"/>
                <w:szCs w:val="20"/>
              </w:rPr>
              <w:t>Valor Total Mensal</w:t>
            </w:r>
          </w:p>
        </w:tc>
        <w:tc>
          <w:tcPr>
            <w:tcW w:w="1620"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kern w:val="0"/>
                <w:sz w:val="20"/>
                <w:szCs w:val="20"/>
              </w:rPr>
              <w:t>Valor Total Mensal</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1</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 xml:space="preserve">Pacote de Dados 4G/5G – </w:t>
            </w:r>
            <w:r>
              <w:rPr>
                <w:rFonts w:ascii="Verdana" w:hAnsi="Verdana"/>
                <w:b/>
                <w:bCs/>
                <w:i/>
                <w:iCs/>
                <w:color w:themeColor="text1" w:val="000000"/>
                <w:kern w:val="0"/>
                <w:sz w:val="20"/>
                <w:szCs w:val="20"/>
                <w:lang w:eastAsia="pt-BR"/>
              </w:rPr>
              <w:t>Franquia</w:t>
            </w:r>
            <w:r>
              <w:rPr>
                <w:rFonts w:ascii="Verdana" w:hAnsi="Verdana"/>
                <w:color w:themeColor="text1" w:val="000000"/>
                <w:kern w:val="0"/>
                <w:sz w:val="20"/>
                <w:szCs w:val="20"/>
                <w:lang w:eastAsia="pt-BR"/>
              </w:rPr>
              <w:t xml:space="preserve"> </w:t>
            </w:r>
            <w:r>
              <w:rPr>
                <w:rFonts w:ascii="Verdana" w:hAnsi="Verdana"/>
                <w:b/>
                <w:bCs/>
                <w:i/>
                <w:iCs/>
                <w:color w:themeColor="text1" w:val="000000"/>
                <w:kern w:val="0"/>
                <w:sz w:val="20"/>
                <w:szCs w:val="20"/>
                <w:lang w:eastAsia="pt-BR"/>
              </w:rPr>
              <w:t>Mensal 30GB</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2000</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t>R$ 59,99</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R$ 119.980,00</w:t>
            </w:r>
          </w:p>
        </w:tc>
      </w:tr>
      <w:tr>
        <w:trPr>
          <w:trHeight w:val="229" w:hRule="atLeast"/>
        </w:trPr>
        <w:tc>
          <w:tcPr>
            <w:tcW w:w="64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2</w:t>
            </w:r>
          </w:p>
        </w:tc>
        <w:tc>
          <w:tcPr>
            <w:tcW w:w="4074" w:type="dxa"/>
            <w:tcBorders>
              <w:top w:val="single" w:sz="4" w:space="0" w:color="000000"/>
              <w:left w:val="single" w:sz="4" w:space="0" w:color="000000"/>
              <w:bottom w:val="single" w:sz="4" w:space="0" w:color="000000"/>
              <w:right w:val="single" w:sz="4" w:space="0" w:color="000000"/>
            </w:tcBorders>
            <w:vAlign w:val="bottom"/>
          </w:tcPr>
          <w:p>
            <w:pPr>
              <w:pStyle w:val="Normal"/>
              <w:widowControl w:val="false"/>
              <w:spacing w:lineRule="auto" w:line="240" w:before="0" w:after="0"/>
              <w:jc w:val="left"/>
              <w:rPr>
                <w:rFonts w:ascii="Verdana" w:hAnsi="Verdana"/>
                <w:kern w:val="0"/>
                <w:sz w:val="20"/>
                <w:szCs w:val="20"/>
              </w:rPr>
            </w:pPr>
            <w:r>
              <w:rPr>
                <w:rFonts w:ascii="Verdana" w:hAnsi="Verdana"/>
                <w:color w:themeColor="text1" w:val="000000"/>
                <w:kern w:val="0"/>
                <w:sz w:val="20"/>
                <w:szCs w:val="20"/>
                <w:lang w:eastAsia="pt-BR"/>
              </w:rPr>
              <w:t xml:space="preserve">Pacote de Dados 4G/5G – </w:t>
            </w:r>
            <w:r>
              <w:rPr>
                <w:rFonts w:ascii="Verdana" w:hAnsi="Verdana"/>
                <w:b/>
                <w:bCs/>
                <w:i/>
                <w:iCs/>
                <w:color w:themeColor="text1" w:val="000000"/>
                <w:kern w:val="0"/>
                <w:sz w:val="20"/>
                <w:szCs w:val="20"/>
                <w:lang w:eastAsia="pt-BR"/>
              </w:rPr>
              <w:t>Franquia</w:t>
            </w:r>
            <w:r>
              <w:rPr>
                <w:rFonts w:ascii="Verdana" w:hAnsi="Verdana"/>
                <w:color w:themeColor="text1" w:val="000000"/>
                <w:kern w:val="0"/>
                <w:sz w:val="20"/>
                <w:szCs w:val="20"/>
                <w:lang w:eastAsia="pt-BR"/>
              </w:rPr>
              <w:t xml:space="preserve"> </w:t>
            </w:r>
            <w:r>
              <w:rPr>
                <w:rFonts w:ascii="Verdana" w:hAnsi="Verdana"/>
                <w:b/>
                <w:bCs/>
                <w:i/>
                <w:iCs/>
                <w:color w:themeColor="text1" w:val="000000"/>
                <w:kern w:val="0"/>
                <w:sz w:val="20"/>
                <w:szCs w:val="20"/>
                <w:lang w:eastAsia="pt-BR"/>
              </w:rPr>
              <w:t>Mensal 50GB</w:t>
            </w:r>
          </w:p>
        </w:tc>
        <w:tc>
          <w:tcPr>
            <w:tcW w:w="969"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Un</w:t>
            </w:r>
          </w:p>
        </w:tc>
        <w:tc>
          <w:tcPr>
            <w:tcW w:w="1241"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color w:themeColor="text1" w:val="000000"/>
                <w:kern w:val="0"/>
                <w:sz w:val="20"/>
                <w:szCs w:val="20"/>
                <w:lang w:eastAsia="pt-BR"/>
              </w:rPr>
              <w:t>400</w:t>
            </w:r>
          </w:p>
        </w:tc>
        <w:tc>
          <w:tcPr>
            <w:tcW w:w="1255" w:type="dxa"/>
            <w:tcBorders>
              <w:top w:val="single" w:sz="4" w:space="0" w:color="000000"/>
              <w:left w:val="single" w:sz="4" w:space="0" w:color="000000"/>
              <w:bottom w:val="single" w:sz="4" w:space="0" w:color="000000"/>
            </w:tcBorders>
            <w:vAlign w:val="bottom"/>
          </w:tcPr>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t>R$ 99,99</w:t>
            </w:r>
          </w:p>
        </w:tc>
        <w:tc>
          <w:tcPr>
            <w:tcW w:w="1620" w:type="dxa"/>
            <w:tcBorders>
              <w:top w:val="single" w:sz="4" w:space="0" w:color="000000"/>
              <w:left w:val="single" w:sz="4" w:space="0" w:color="000000"/>
              <w:bottom w:val="single" w:sz="4" w:space="0" w:color="000000"/>
              <w:right w:val="single" w:sz="4" w:space="0" w:color="000000"/>
            </w:tcBorders>
            <w:vAlign w:val="bottom"/>
          </w:tcPr>
          <w:p>
            <w:pPr>
              <w:pStyle w:val="Contedodatabela"/>
              <w:widowControl w:val="false"/>
              <w:spacing w:lineRule="auto" w:line="240" w:before="0" w:after="0"/>
              <w:jc w:val="center"/>
              <w:rPr>
                <w:rFonts w:ascii="Verdana" w:hAnsi="Verdana" w:eastAsia="Times New Roman" w:cs="Times New Roman"/>
                <w:kern w:val="0"/>
                <w:sz w:val="20"/>
                <w:szCs w:val="20"/>
              </w:rPr>
            </w:pPr>
            <w:r>
              <w:rPr>
                <w:rFonts w:eastAsia="Times New Roman" w:cs="Times New Roman" w:ascii="Verdana" w:hAnsi="Verdana"/>
                <w:kern w:val="0"/>
                <w:sz w:val="20"/>
                <w:szCs w:val="20"/>
              </w:rPr>
              <w:t>R$ 39.996,00</w:t>
            </w:r>
          </w:p>
        </w:tc>
      </w:tr>
      <w:tr>
        <w:trPr>
          <w:trHeight w:val="161" w:hRule="atLeast"/>
        </w:trPr>
        <w:tc>
          <w:tcPr>
            <w:tcW w:w="6928" w:type="dxa"/>
            <w:gridSpan w:val="4"/>
            <w:tcBorders>
              <w:left w:val="single" w:sz="4" w:space="0" w:color="000000"/>
              <w:bottom w:val="single" w:sz="4" w:space="0" w:color="000000"/>
            </w:tcBorders>
            <w:vAlign w:val="center"/>
          </w:tcPr>
          <w:p>
            <w:pPr>
              <w:pStyle w:val="Normal"/>
              <w:widowControl w:val="false"/>
              <w:spacing w:lineRule="auto" w:line="240" w:before="0" w:after="0"/>
              <w:jc w:val="right"/>
              <w:rPr>
                <w:rFonts w:ascii="Verdana" w:hAnsi="Verdana"/>
                <w:b/>
                <w:bCs/>
                <w:kern w:val="0"/>
                <w:sz w:val="20"/>
                <w:szCs w:val="20"/>
              </w:rPr>
            </w:pPr>
            <w:r>
              <w:rPr>
                <w:rFonts w:ascii="Verdana" w:hAnsi="Verdana"/>
                <w:b/>
                <w:bCs/>
                <w:kern w:val="0"/>
                <w:sz w:val="20"/>
                <w:szCs w:val="20"/>
              </w:rPr>
            </w:r>
          </w:p>
          <w:p>
            <w:pPr>
              <w:pStyle w:val="Normal"/>
              <w:widowControl w:val="false"/>
              <w:spacing w:lineRule="auto" w:line="240" w:before="0" w:after="0"/>
              <w:jc w:val="center"/>
              <w:rPr>
                <w:rFonts w:ascii="Verdana" w:hAnsi="Verdana"/>
                <w:kern w:val="0"/>
                <w:sz w:val="20"/>
                <w:szCs w:val="20"/>
              </w:rPr>
            </w:pPr>
            <w:r>
              <w:rPr>
                <w:rFonts w:ascii="Verdana" w:hAnsi="Verdana"/>
                <w:b/>
                <w:bCs/>
                <w:kern w:val="0"/>
                <w:sz w:val="20"/>
                <w:szCs w:val="20"/>
              </w:rPr>
              <w:t>VALOR TOTAL MENSAL</w:t>
            </w:r>
          </w:p>
          <w:p>
            <w:pPr>
              <w:pStyle w:val="Normal"/>
              <w:widowControl w:val="false"/>
              <w:spacing w:lineRule="auto" w:line="240" w:before="0" w:after="0"/>
              <w:jc w:val="right"/>
              <w:rPr>
                <w:rFonts w:ascii="Verdana" w:hAnsi="Verdana"/>
                <w:b/>
                <w:bCs/>
                <w:kern w:val="0"/>
                <w:sz w:val="20"/>
                <w:szCs w:val="20"/>
              </w:rPr>
            </w:pPr>
            <w:r>
              <w:rPr>
                <w:rFonts w:ascii="Verdana" w:hAnsi="Verdana"/>
                <w:b/>
                <w:bCs/>
                <w:kern w:val="0"/>
                <w:sz w:val="20"/>
                <w:szCs w:val="20"/>
              </w:rPr>
            </w:r>
          </w:p>
        </w:tc>
        <w:tc>
          <w:tcPr>
            <w:tcW w:w="2875" w:type="dxa"/>
            <w:gridSpan w:val="2"/>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kern w:val="0"/>
                <w:sz w:val="20"/>
                <w:szCs w:val="20"/>
              </w:rPr>
              <w:t>R$ 1.634.166,97</w:t>
            </w:r>
          </w:p>
        </w:tc>
      </w:tr>
      <w:tr>
        <w:trPr>
          <w:trHeight w:val="229" w:hRule="atLeast"/>
        </w:trPr>
        <w:tc>
          <w:tcPr>
            <w:tcW w:w="6928" w:type="dxa"/>
            <w:gridSpan w:val="4"/>
            <w:tcBorders>
              <w:left w:val="single" w:sz="4" w:space="0" w:color="000000"/>
              <w:bottom w:val="single" w:sz="4" w:space="0" w:color="000000"/>
            </w:tcBorders>
            <w:vAlign w:val="center"/>
          </w:tcPr>
          <w:p>
            <w:pPr>
              <w:pStyle w:val="Normal"/>
              <w:widowControl w:val="false"/>
              <w:spacing w:lineRule="auto" w:line="240" w:before="0" w:after="0"/>
              <w:jc w:val="right"/>
              <w:rPr>
                <w:rFonts w:ascii="Verdana" w:hAnsi="Verdana"/>
                <w:b/>
                <w:bCs/>
                <w:kern w:val="0"/>
                <w:sz w:val="20"/>
                <w:szCs w:val="20"/>
              </w:rPr>
            </w:pPr>
            <w:r>
              <w:rPr>
                <w:rFonts w:ascii="Verdana" w:hAnsi="Verdana"/>
                <w:b/>
                <w:bCs/>
                <w:kern w:val="0"/>
                <w:sz w:val="20"/>
                <w:szCs w:val="20"/>
              </w:rPr>
            </w:r>
          </w:p>
          <w:p>
            <w:pPr>
              <w:pStyle w:val="Normal"/>
              <w:widowControl w:val="false"/>
              <w:spacing w:lineRule="auto" w:line="240" w:before="0" w:after="0"/>
              <w:jc w:val="center"/>
              <w:rPr>
                <w:rFonts w:ascii="Verdana" w:hAnsi="Verdana"/>
                <w:kern w:val="0"/>
                <w:sz w:val="20"/>
                <w:szCs w:val="20"/>
              </w:rPr>
            </w:pPr>
            <w:r>
              <w:rPr>
                <w:rFonts w:ascii="Verdana" w:hAnsi="Verdana"/>
                <w:b/>
                <w:bCs/>
                <w:kern w:val="0"/>
                <w:sz w:val="20"/>
                <w:szCs w:val="20"/>
              </w:rPr>
              <w:t>VALOR TOTAL GLOBAL</w:t>
            </w:r>
          </w:p>
          <w:p>
            <w:pPr>
              <w:pStyle w:val="Normal"/>
              <w:widowControl w:val="false"/>
              <w:spacing w:lineRule="auto" w:line="240" w:before="0" w:after="0"/>
              <w:jc w:val="right"/>
              <w:rPr>
                <w:rFonts w:ascii="Verdana" w:hAnsi="Verdana"/>
                <w:b/>
                <w:bCs/>
                <w:kern w:val="0"/>
                <w:sz w:val="20"/>
                <w:szCs w:val="20"/>
              </w:rPr>
            </w:pPr>
            <w:r>
              <w:rPr>
                <w:rFonts w:ascii="Verdana" w:hAnsi="Verdana"/>
                <w:b/>
                <w:bCs/>
                <w:kern w:val="0"/>
                <w:sz w:val="20"/>
                <w:szCs w:val="20"/>
              </w:rPr>
            </w:r>
          </w:p>
        </w:tc>
        <w:tc>
          <w:tcPr>
            <w:tcW w:w="2875" w:type="dxa"/>
            <w:gridSpan w:val="2"/>
            <w:tcBorders>
              <w:left w:val="single" w:sz="4" w:space="0" w:color="000000"/>
              <w:bottom w:val="single" w:sz="4" w:space="0" w:color="000000"/>
              <w:right w:val="single" w:sz="4" w:space="0" w:color="000000"/>
            </w:tcBorders>
            <w:vAlign w:val="center"/>
          </w:tcPr>
          <w:p>
            <w:pPr>
              <w:pStyle w:val="Normal"/>
              <w:widowControl w:val="false"/>
              <w:spacing w:lineRule="auto" w:line="240" w:before="0" w:after="0"/>
              <w:jc w:val="center"/>
              <w:rPr>
                <w:rFonts w:ascii="Verdana" w:hAnsi="Verdana"/>
                <w:kern w:val="0"/>
                <w:sz w:val="20"/>
                <w:szCs w:val="20"/>
              </w:rPr>
            </w:pPr>
            <w:r>
              <w:rPr>
                <w:rFonts w:ascii="Verdana" w:hAnsi="Verdana"/>
                <w:b/>
                <w:bCs/>
                <w:color w:val="000000"/>
                <w:kern w:val="0"/>
                <w:sz w:val="20"/>
                <w:szCs w:val="20"/>
                <w:lang w:eastAsia="pt-BR"/>
              </w:rPr>
              <w:t>R$ 19.610.003,64</w:t>
            </w:r>
          </w:p>
        </w:tc>
      </w:tr>
    </w:tbl>
    <w:p>
      <w:pPr>
        <w:pStyle w:val="Normal"/>
        <w:suppressAutoHyphens w:val="false"/>
        <w:spacing w:lineRule="auto" w:line="240"/>
        <w:jc w:val="both"/>
        <w:rPr>
          <w:rFonts w:ascii="Verdana" w:hAnsi="Verdana" w:cs="Arial"/>
          <w:b/>
          <w:sz w:val="20"/>
          <w:szCs w:val="20"/>
        </w:rPr>
      </w:pPr>
      <w:r>
        <w:rPr>
          <w:rFonts w:cs="Arial" w:ascii="Verdana" w:hAnsi="Verdana"/>
          <w:b/>
          <w:sz w:val="20"/>
          <w:szCs w:val="20"/>
        </w:rPr>
      </w:r>
    </w:p>
    <w:p>
      <w:pPr>
        <w:pStyle w:val="Normal"/>
        <w:suppressAutoHyphens w:val="false"/>
        <w:spacing w:lineRule="auto" w:line="240"/>
        <w:jc w:val="both"/>
        <w:rPr>
          <w:rFonts w:ascii="Verdana" w:hAnsi="Verdana" w:cs="Arial"/>
          <w:b/>
          <w:sz w:val="20"/>
          <w:szCs w:val="20"/>
        </w:rPr>
      </w:pPr>
      <w:r>
        <w:rPr>
          <w:rFonts w:cs="Arial" w:ascii="Verdana" w:hAnsi="Verdana"/>
          <w:b/>
          <w:sz w:val="20"/>
          <w:szCs w:val="20"/>
        </w:rPr>
      </w:r>
    </w:p>
    <w:p>
      <w:pPr>
        <w:pStyle w:val="Normal"/>
        <w:suppressAutoHyphens w:val="false"/>
        <w:spacing w:lineRule="auto" w:line="240"/>
        <w:jc w:val="both"/>
        <w:rPr>
          <w:rFonts w:ascii="Verdana" w:hAnsi="Verdana" w:cs="Arial"/>
          <w:b/>
          <w:sz w:val="20"/>
          <w:szCs w:val="20"/>
        </w:rPr>
      </w:pPr>
      <w:r>
        <w:rPr>
          <w:rFonts w:cs="Arial" w:ascii="Verdana" w:hAnsi="Verdana"/>
          <w:b/>
          <w:sz w:val="20"/>
          <w:szCs w:val="20"/>
        </w:rPr>
      </w:r>
    </w:p>
    <w:p>
      <w:pPr>
        <w:pStyle w:val="Normal"/>
        <w:suppressAutoHyphens w:val="false"/>
        <w:spacing w:lineRule="auto" w:line="240"/>
        <w:jc w:val="both"/>
        <w:rPr>
          <w:rFonts w:ascii="Verdana" w:hAnsi="Verdana"/>
          <w:sz w:val="20"/>
          <w:szCs w:val="20"/>
        </w:rPr>
      </w:pPr>
      <w:r>
        <w:rPr>
          <w:rFonts w:cs="Arial" w:ascii="Verdana" w:hAnsi="Verdana"/>
          <w:b/>
          <w:sz w:val="20"/>
          <w:szCs w:val="20"/>
        </w:rPr>
        <w:t>10. DESCRIÇÃO DA SOLUÇÃO COMO UM TODO</w:t>
      </w:r>
    </w:p>
    <w:p>
      <w:pPr>
        <w:pStyle w:val="Normal"/>
        <w:spacing w:lineRule="auto" w:line="240"/>
        <w:jc w:val="both"/>
        <w:rPr>
          <w:rFonts w:ascii="Verdana" w:hAnsi="Verdana"/>
          <w:sz w:val="20"/>
          <w:szCs w:val="20"/>
        </w:rPr>
      </w:pPr>
      <w:r>
        <w:rPr>
          <w:rFonts w:cs="Arial" w:ascii="Verdana" w:hAnsi="Verdana"/>
          <w:b/>
          <w:sz w:val="20"/>
          <w:szCs w:val="20"/>
        </w:rPr>
        <w:t>10.1</w:t>
      </w:r>
      <w:r>
        <w:rPr>
          <w:rFonts w:cs="Arial" w:ascii="Verdana" w:hAnsi="Verdana"/>
          <w:sz w:val="20"/>
          <w:szCs w:val="20"/>
        </w:rPr>
        <w:t xml:space="preserve"> A solução a ser adotada consiste na contratação de Serviços e fornecimento de soluções tecnológicas destinadas à locação, instalação e manutenção para modernizar e ampliar o serviço de videomonitoramento e telecomunicações do município de São Gabriel da Palha, contemplando equipamentos, softwares, serviços de instalação, manutenção e suporte técnico.</w:t>
      </w:r>
    </w:p>
    <w:p>
      <w:pPr>
        <w:pStyle w:val="Normal"/>
        <w:spacing w:lineRule="auto" w:line="240"/>
        <w:jc w:val="both"/>
        <w:rPr>
          <w:rFonts w:ascii="Verdana" w:hAnsi="Verdana"/>
          <w:sz w:val="20"/>
          <w:szCs w:val="20"/>
        </w:rPr>
      </w:pPr>
      <w:r>
        <w:rPr>
          <w:rFonts w:cs="Arial" w:ascii="Verdana" w:hAnsi="Verdana"/>
          <w:b/>
          <w:bCs/>
          <w:sz w:val="20"/>
          <w:szCs w:val="20"/>
        </w:rPr>
        <w:t>10.2.</w:t>
      </w:r>
      <w:r>
        <w:rPr>
          <w:rFonts w:cs="Arial" w:ascii="Verdana" w:hAnsi="Verdana"/>
          <w:sz w:val="20"/>
          <w:szCs w:val="20"/>
        </w:rPr>
        <w:t xml:space="preserve"> Os serviços terão um prazo de 30 dias corridos, para finalizar a instalação de todos os locais previstos na Autorização de Serviço (OS), nos locais de instalação hoje já existentes com o plano de ampliação estão previstos no ETP.</w:t>
      </w:r>
    </w:p>
    <w:p>
      <w:pPr>
        <w:pStyle w:val="Normal"/>
        <w:spacing w:lineRule="auto" w:line="240"/>
        <w:jc w:val="both"/>
        <w:rPr>
          <w:rFonts w:ascii="Verdana" w:hAnsi="Verdana"/>
          <w:sz w:val="20"/>
          <w:szCs w:val="20"/>
        </w:rPr>
      </w:pPr>
      <w:r>
        <w:rPr>
          <w:rFonts w:cs="Arial" w:ascii="Verdana" w:hAnsi="Verdana"/>
          <w:b/>
          <w:bCs/>
          <w:sz w:val="20"/>
          <w:szCs w:val="20"/>
        </w:rPr>
        <w:t>10.3.</w:t>
      </w:r>
      <w:r>
        <w:rPr>
          <w:rFonts w:cs="Arial" w:ascii="Verdana" w:hAnsi="Verdana"/>
          <w:sz w:val="20"/>
          <w:szCs w:val="20"/>
        </w:rPr>
        <w:t xml:space="preserve"> Na Ordem de Início dos Serviços estará discriminada os setores que serão contempladas na instalação, esses setores serão escolhidos pela Administração com base nas necessidades de segurança levantadas à época.</w:t>
      </w:r>
    </w:p>
    <w:p>
      <w:pPr>
        <w:pStyle w:val="Normal"/>
        <w:spacing w:lineRule="auto" w:line="240"/>
        <w:jc w:val="both"/>
        <w:rPr>
          <w:rFonts w:ascii="Verdana" w:hAnsi="Verdana"/>
          <w:sz w:val="20"/>
          <w:szCs w:val="20"/>
        </w:rPr>
      </w:pPr>
      <w:r>
        <w:rPr>
          <w:rFonts w:cs="Arial" w:ascii="Verdana" w:hAnsi="Verdana"/>
          <w:sz w:val="20"/>
          <w:szCs w:val="20"/>
        </w:rPr>
        <w:br/>
      </w:r>
    </w:p>
    <w:p>
      <w:pPr>
        <w:pStyle w:val="Normal"/>
        <w:suppressAutoHyphens w:val="false"/>
        <w:spacing w:lineRule="auto" w:line="240"/>
        <w:jc w:val="both"/>
        <w:rPr>
          <w:rFonts w:ascii="Verdana" w:hAnsi="Verdana"/>
          <w:sz w:val="20"/>
          <w:szCs w:val="20"/>
        </w:rPr>
      </w:pPr>
      <w:r>
        <w:rPr>
          <w:rFonts w:cs="Arial" w:ascii="Verdana" w:hAnsi="Verdana"/>
          <w:b/>
          <w:sz w:val="20"/>
          <w:szCs w:val="20"/>
        </w:rPr>
        <w:t>11. JUSTIFICATIVA PARA O PARCELAMENTO OU NÃO DA SOLUÇÃO</w:t>
      </w:r>
    </w:p>
    <w:p>
      <w:pPr>
        <w:pStyle w:val="Normal"/>
        <w:spacing w:lineRule="auto" w:line="240"/>
        <w:ind w:right="-425"/>
        <w:jc w:val="both"/>
        <w:rPr>
          <w:rFonts w:ascii="Verdana" w:hAnsi="Verdana"/>
          <w:sz w:val="20"/>
          <w:szCs w:val="20"/>
        </w:rPr>
      </w:pPr>
      <w:r>
        <w:rPr>
          <w:rFonts w:cs="Arial" w:ascii="Verdana" w:hAnsi="Verdana"/>
          <w:b/>
          <w:bCs/>
          <w:sz w:val="20"/>
          <w:szCs w:val="20"/>
        </w:rPr>
        <w:t>11</w:t>
      </w:r>
      <w:r>
        <w:rPr>
          <w:rFonts w:ascii="Verdana" w:hAnsi="Verdana"/>
          <w:sz w:val="20"/>
          <w:szCs w:val="20"/>
        </w:rPr>
        <w:t>.1. O objeto da contratação será composto por</w:t>
      </w:r>
      <w:r>
        <w:rPr>
          <w:rFonts w:cs="Arial" w:ascii="Verdana" w:hAnsi="Verdana"/>
          <w:sz w:val="20"/>
          <w:szCs w:val="20"/>
        </w:rPr>
        <w:t xml:space="preserve"> </w:t>
      </w:r>
      <w:r>
        <w:rPr>
          <w:rFonts w:cs="Arial" w:ascii="Verdana" w:hAnsi="Verdana"/>
          <w:b/>
          <w:bCs/>
          <w:sz w:val="20"/>
          <w:szCs w:val="20"/>
        </w:rPr>
        <w:t>13</w:t>
      </w:r>
      <w:r>
        <w:rPr>
          <w:rFonts w:ascii="Verdana" w:hAnsi="Verdana"/>
          <w:sz w:val="20"/>
          <w:szCs w:val="20"/>
        </w:rPr>
        <w:t xml:space="preserve"> itens, de preço total estimado orçado pela administração no valor </w:t>
      </w:r>
      <w:r>
        <w:rPr>
          <w:rFonts w:eastAsia="Arial" w:cs="Arial" w:ascii="Verdana" w:hAnsi="Verdana"/>
          <w:b/>
          <w:sz w:val="20"/>
          <w:szCs w:val="20"/>
        </w:rPr>
        <w:t>R$ 19.610.003,64</w:t>
      </w:r>
      <w:r>
        <w:rPr>
          <w:rFonts w:ascii="Verdana" w:hAnsi="Verdana"/>
          <w:sz w:val="20"/>
          <w:szCs w:val="20"/>
        </w:rPr>
        <w:t xml:space="preserve"> Para fins de classificação, será considerado o menor preço </w:t>
      </w:r>
      <w:r>
        <w:rPr>
          <w:rFonts w:cs="Arial" w:ascii="Verdana" w:hAnsi="Verdana"/>
          <w:b/>
          <w:sz w:val="20"/>
          <w:szCs w:val="20"/>
        </w:rPr>
        <w:t>global</w:t>
      </w:r>
      <w:r>
        <w:rPr>
          <w:rFonts w:ascii="Verdana" w:hAnsi="Verdana"/>
          <w:sz w:val="20"/>
          <w:szCs w:val="20"/>
        </w:rPr>
        <w:t xml:space="preserve">. Compete à administração buscar o menor dispêndio possível de recursos, assegurando a qualidade da </w:t>
      </w:r>
      <w:r>
        <w:rPr>
          <w:rFonts w:cs="Arial" w:ascii="Verdana" w:hAnsi="Verdana"/>
          <w:sz w:val="20"/>
          <w:szCs w:val="20"/>
        </w:rPr>
        <w:t>prestação</w:t>
      </w:r>
      <w:r>
        <w:rPr>
          <w:rFonts w:ascii="Verdana" w:hAnsi="Verdana"/>
          <w:sz w:val="20"/>
          <w:szCs w:val="20"/>
        </w:rPr>
        <w:t xml:space="preserve"> do</w:t>
      </w:r>
      <w:r>
        <w:rPr>
          <w:rFonts w:cs="Arial" w:ascii="Verdana" w:hAnsi="Verdana"/>
          <w:sz w:val="20"/>
          <w:szCs w:val="20"/>
        </w:rPr>
        <w:t>s</w:t>
      </w:r>
      <w:r>
        <w:rPr>
          <w:rFonts w:ascii="Verdana" w:hAnsi="Verdana"/>
          <w:sz w:val="20"/>
          <w:szCs w:val="20"/>
        </w:rPr>
        <w:t xml:space="preserve"> </w:t>
      </w:r>
      <w:r>
        <w:rPr>
          <w:rFonts w:cs="Arial" w:ascii="Verdana" w:hAnsi="Verdana"/>
          <w:sz w:val="20"/>
          <w:szCs w:val="20"/>
        </w:rPr>
        <w:t>serviços</w:t>
      </w:r>
      <w:r>
        <w:rPr>
          <w:rFonts w:ascii="Verdana" w:hAnsi="Verdana"/>
          <w:sz w:val="20"/>
          <w:szCs w:val="20"/>
        </w:rPr>
        <w:t>, o que exige a escolha da solução mais adequada e eficiente dentre as diversas opções existentes já por ocasião da definição do objeto e das condições da aquisição, posto que seja essa descrição que impulsiona a seleção da proposta mais vantajosa.</w:t>
      </w:r>
    </w:p>
    <w:p>
      <w:pPr>
        <w:pStyle w:val="Normal"/>
        <w:spacing w:lineRule="auto" w:line="240"/>
        <w:ind w:right="-425"/>
        <w:jc w:val="both"/>
        <w:rPr>
          <w:rFonts w:ascii="Verdana" w:hAnsi="Verdana"/>
          <w:sz w:val="20"/>
          <w:szCs w:val="20"/>
        </w:rPr>
      </w:pPr>
      <w:r>
        <w:rPr>
          <w:rFonts w:cs="Arial" w:ascii="Verdana" w:hAnsi="Verdana"/>
          <w:b/>
          <w:bCs/>
          <w:sz w:val="20"/>
          <w:szCs w:val="20"/>
        </w:rPr>
        <w:t xml:space="preserve">11.2. </w:t>
      </w:r>
      <w:r>
        <w:rPr>
          <w:rFonts w:cs="Arial" w:ascii="Verdana" w:hAnsi="Verdana"/>
          <w:sz w:val="20"/>
          <w:szCs w:val="20"/>
        </w:rPr>
        <w:t>Apesar do posicionamento do TCU no sentido de que o fracionamento do objeto poderia ampliar a competitividade, verifica-se que, no caso concreto, a solução tecnológica prevista envolve serviços integrados (instalação de equipamentos, softwares, links de comunicação, suporte técnico e manutenção). Assim, a divisão em lotes distintos comprometeria a funcionalidade e a eficiência do sistema de videomonitoramento e telecomunicações.</w:t>
      </w:r>
    </w:p>
    <w:p>
      <w:pPr>
        <w:pStyle w:val="Normal"/>
        <w:spacing w:lineRule="auto" w:line="240"/>
        <w:ind w:right="-425"/>
        <w:jc w:val="both"/>
        <w:rPr>
          <w:rFonts w:ascii="Verdana" w:hAnsi="Verdana"/>
          <w:sz w:val="20"/>
          <w:szCs w:val="20"/>
        </w:rPr>
      </w:pPr>
      <w:r>
        <w:rPr>
          <w:rFonts w:cs="Arial" w:ascii="Verdana" w:hAnsi="Verdana"/>
          <w:b/>
          <w:bCs/>
          <w:sz w:val="20"/>
          <w:szCs w:val="20"/>
        </w:rPr>
        <w:t xml:space="preserve">11.3. </w:t>
      </w:r>
      <w:r>
        <w:rPr>
          <w:rFonts w:cs="Arial" w:ascii="Verdana" w:hAnsi="Verdana"/>
          <w:sz w:val="20"/>
          <w:szCs w:val="20"/>
        </w:rPr>
        <w:t>Ressalta-se que a execução integrada é condição essencial para assegurar a operacionalidade do sistema, evitando problemas técnicos e de garantia. A realização de licitação por itens, nesse caso, poderia trazer prejuízos à Administração, sobretudo na fiscalização, manutenção preventiva e corretiva, e na compatibilidade entre diferentes soluções tecnológicas.</w:t>
      </w:r>
    </w:p>
    <w:p>
      <w:pPr>
        <w:pStyle w:val="Normal"/>
        <w:spacing w:lineRule="auto" w:line="240"/>
        <w:ind w:right="-425"/>
        <w:jc w:val="both"/>
        <w:rPr>
          <w:rFonts w:ascii="Verdana" w:hAnsi="Verdana"/>
          <w:sz w:val="20"/>
          <w:szCs w:val="20"/>
        </w:rPr>
      </w:pPr>
      <w:r>
        <w:rPr>
          <w:rFonts w:cs="Arial" w:ascii="Verdana" w:hAnsi="Verdana"/>
          <w:b/>
          <w:bCs/>
          <w:sz w:val="20"/>
          <w:szCs w:val="20"/>
        </w:rPr>
        <w:t xml:space="preserve">11.4. </w:t>
      </w:r>
      <w:r>
        <w:rPr>
          <w:rFonts w:cs="Arial" w:ascii="Verdana" w:hAnsi="Verdana"/>
          <w:sz w:val="20"/>
          <w:szCs w:val="20"/>
        </w:rPr>
        <w:t>A unificação de lote único global gerará economia de escala, ao unificar os lotes em uma única licitação, possibilitamos uma economia de escala significativa, isso ocorre tanto no que diz respeito à administração do processo licitatório em si, reduzindo custos burocráticos e de gestão, quanto na obtenção de melhores preços junto aos fornecedores em função do volume de serviços agregado, não havendo prejuízo à competitividade.</w:t>
      </w:r>
    </w:p>
    <w:p>
      <w:pPr>
        <w:pStyle w:val="Normal"/>
        <w:spacing w:lineRule="auto" w:line="240"/>
        <w:ind w:right="-425"/>
        <w:jc w:val="both"/>
        <w:rPr>
          <w:rFonts w:ascii="Verdana" w:hAnsi="Verdana"/>
          <w:sz w:val="20"/>
          <w:szCs w:val="20"/>
        </w:rPr>
      </w:pPr>
      <w:r>
        <w:rPr>
          <w:rFonts w:cs="Arial" w:ascii="Verdana" w:hAnsi="Verdana"/>
          <w:b/>
          <w:bCs/>
          <w:sz w:val="20"/>
          <w:szCs w:val="20"/>
        </w:rPr>
        <w:t>11.5.</w:t>
      </w:r>
      <w:r>
        <w:rPr>
          <w:rFonts w:cs="Arial" w:ascii="Verdana" w:hAnsi="Verdana"/>
          <w:sz w:val="20"/>
          <w:szCs w:val="20"/>
        </w:rPr>
        <w:t xml:space="preserve"> Todos os itens atuarão em conjunto, garantindo que o município tenha uma solução tecnológica de segurança pública e conectividade devidamente funcional.</w:t>
      </w:r>
    </w:p>
    <w:p>
      <w:pPr>
        <w:pStyle w:val="Normal"/>
        <w:spacing w:lineRule="auto" w:line="240"/>
        <w:ind w:right="-425"/>
        <w:jc w:val="both"/>
        <w:rPr>
          <w:rFonts w:ascii="Verdana" w:hAnsi="Verdana"/>
          <w:sz w:val="20"/>
          <w:szCs w:val="20"/>
        </w:rPr>
      </w:pPr>
      <w:r>
        <w:rPr>
          <w:rFonts w:cs="Arial" w:ascii="Verdana" w:hAnsi="Verdana"/>
          <w:b/>
          <w:bCs/>
          <w:sz w:val="20"/>
          <w:szCs w:val="20"/>
        </w:rPr>
        <w:t xml:space="preserve">11.6.  </w:t>
      </w:r>
      <w:r>
        <w:rPr>
          <w:rFonts w:cs="Arial" w:ascii="Verdana" w:hAnsi="Verdana"/>
          <w:sz w:val="20"/>
          <w:szCs w:val="20"/>
        </w:rPr>
        <w:t>Exatamente porque os sistemas funcionarão de maneira integrada é que se faz obrigatória a licitação por lote único. Caso contrário, poderiam surgir problemas como:</w:t>
      </w:r>
    </w:p>
    <w:p>
      <w:pPr>
        <w:pStyle w:val="Normal"/>
        <w:spacing w:lineRule="auto" w:line="240"/>
        <w:ind w:right="-425"/>
        <w:jc w:val="both"/>
        <w:rPr>
          <w:rFonts w:ascii="Verdana" w:hAnsi="Verdana"/>
          <w:sz w:val="20"/>
          <w:szCs w:val="20"/>
        </w:rPr>
      </w:pPr>
      <w:r>
        <w:rPr>
          <w:rFonts w:cs="Arial" w:ascii="Verdana" w:hAnsi="Verdana"/>
          <w:sz w:val="20"/>
          <w:szCs w:val="20"/>
        </w:rPr>
        <w:t>11.6.1. Atraso ou inviabilidade de estruturação do sistema, uma vez que a fragmentação poderia comprometer a integração dos diversos componentes, ampliando custos e prazos de implantação.</w:t>
      </w:r>
    </w:p>
    <w:p>
      <w:pPr>
        <w:pStyle w:val="Normal"/>
        <w:spacing w:lineRule="auto" w:line="240"/>
        <w:ind w:right="-425"/>
        <w:jc w:val="both"/>
        <w:rPr>
          <w:rFonts w:ascii="Verdana" w:hAnsi="Verdana" w:cs="Arial"/>
          <w:sz w:val="20"/>
          <w:szCs w:val="20"/>
        </w:rPr>
      </w:pPr>
      <w:r>
        <w:rPr>
          <w:rFonts w:cs="Arial" w:ascii="Verdana" w:hAnsi="Verdana"/>
          <w:sz w:val="20"/>
          <w:szCs w:val="20"/>
        </w:rPr>
      </w:r>
    </w:p>
    <w:p>
      <w:pPr>
        <w:pStyle w:val="Normal"/>
        <w:suppressAutoHyphens w:val="false"/>
        <w:spacing w:lineRule="auto" w:line="240"/>
        <w:jc w:val="both"/>
        <w:rPr>
          <w:rFonts w:ascii="Verdana" w:hAnsi="Verdana"/>
          <w:sz w:val="20"/>
          <w:szCs w:val="20"/>
        </w:rPr>
      </w:pPr>
      <w:r>
        <w:rPr>
          <w:rFonts w:cs="Arial" w:ascii="Verdana" w:hAnsi="Verdana"/>
          <w:b/>
          <w:sz w:val="20"/>
          <w:szCs w:val="20"/>
        </w:rPr>
        <w:t>12. RESULTADOS PRETENDIDOS COM A CONTRATAÇÃO</w:t>
      </w:r>
    </w:p>
    <w:p>
      <w:pPr>
        <w:pStyle w:val="Normal"/>
        <w:spacing w:lineRule="auto" w:line="240"/>
        <w:jc w:val="both"/>
        <w:rPr>
          <w:rFonts w:ascii="Verdana" w:hAnsi="Verdana"/>
          <w:sz w:val="20"/>
          <w:szCs w:val="20"/>
        </w:rPr>
      </w:pPr>
      <w:r>
        <w:rPr>
          <w:rFonts w:cs="Arial" w:ascii="Verdana" w:hAnsi="Verdana"/>
          <w:b/>
          <w:sz w:val="20"/>
          <w:szCs w:val="20"/>
        </w:rPr>
        <w:t>12.1</w:t>
      </w:r>
      <w:r>
        <w:rPr>
          <w:rFonts w:cs="Arial" w:ascii="Verdana" w:hAnsi="Verdana"/>
          <w:sz w:val="20"/>
          <w:szCs w:val="20"/>
        </w:rPr>
        <w:t xml:space="preserve"> Os resultados pretendidos com a contratação tem como pilar a melhoria no atendimento ao cidadão, bem como garantir segurança e conectividade para a população, além de prover mecanismos de combate a crimes, auxiliando o trabalho do Departamento de Trânsito, Polícia Civil e Militar do município de São Gabriel da Palha.</w:t>
      </w:r>
    </w:p>
    <w:p>
      <w:pPr>
        <w:pStyle w:val="Normal"/>
        <w:spacing w:lineRule="auto" w:line="240"/>
        <w:ind w:right="-425"/>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cs="Arial" w:ascii="Verdana" w:hAnsi="Verdana"/>
          <w:b/>
          <w:sz w:val="20"/>
          <w:szCs w:val="20"/>
        </w:rPr>
        <w:t>13. PROVIDÊNCIAS A SEREM ADOTADAS</w:t>
      </w:r>
    </w:p>
    <w:p>
      <w:pPr>
        <w:pStyle w:val="Normal"/>
        <w:spacing w:lineRule="auto" w:line="240"/>
        <w:jc w:val="both"/>
        <w:rPr>
          <w:rFonts w:ascii="Verdana" w:hAnsi="Verdana"/>
          <w:sz w:val="20"/>
          <w:szCs w:val="20"/>
        </w:rPr>
      </w:pPr>
      <w:r>
        <w:rPr>
          <w:rFonts w:cs="Arial" w:ascii="Verdana" w:hAnsi="Verdana"/>
          <w:b/>
          <w:sz w:val="20"/>
          <w:szCs w:val="20"/>
        </w:rPr>
        <w:t xml:space="preserve">13.1. </w:t>
      </w:r>
      <w:r>
        <w:rPr>
          <w:rFonts w:cs="Arial" w:ascii="Verdana" w:hAnsi="Verdana"/>
          <w:sz w:val="20"/>
          <w:szCs w:val="20"/>
        </w:rPr>
        <w:t xml:space="preserve">A Administração Pública contará com a Secretaria Municipal de Administração e Secretarias requisitantes </w:t>
      </w:r>
      <w:r>
        <w:rPr>
          <w:rFonts w:cs="Arial" w:ascii="Verdana" w:hAnsi="Verdana"/>
          <w:color w:val="000000"/>
          <w:sz w:val="20"/>
          <w:szCs w:val="20"/>
        </w:rPr>
        <w:t xml:space="preserve">responsável por acompanhar a prestação dos serviços, </w:t>
      </w:r>
      <w:r>
        <w:rPr>
          <w:rFonts w:cs="Arial" w:ascii="Verdana" w:hAnsi="Verdana"/>
          <w:sz w:val="20"/>
          <w:szCs w:val="20"/>
        </w:rPr>
        <w:t>recebimento e conferência das especificações contidas no processo licitatório.</w:t>
      </w:r>
    </w:p>
    <w:p>
      <w:pPr>
        <w:pStyle w:val="Normal"/>
        <w:spacing w:lineRule="auto" w:line="240"/>
        <w:jc w:val="both"/>
        <w:rPr>
          <w:rFonts w:ascii="Verdana" w:hAnsi="Verdana" w:cs="Arial"/>
          <w:sz w:val="20"/>
          <w:szCs w:val="20"/>
        </w:rPr>
      </w:pPr>
      <w:r>
        <w:rPr>
          <w:rFonts w:cs="Arial" w:ascii="Verdana" w:hAnsi="Verdana"/>
          <w:sz w:val="20"/>
          <w:szCs w:val="20"/>
        </w:rPr>
      </w:r>
    </w:p>
    <w:p>
      <w:pPr>
        <w:pStyle w:val="Normal"/>
        <w:spacing w:lineRule="auto" w:line="240"/>
        <w:jc w:val="both"/>
        <w:rPr>
          <w:rFonts w:ascii="Verdana" w:hAnsi="Verdana" w:cs="Arial"/>
          <w:sz w:val="20"/>
          <w:szCs w:val="20"/>
        </w:rPr>
      </w:pPr>
      <w:r>
        <w:rPr>
          <w:rFonts w:cs="Arial" w:ascii="Verdana" w:hAnsi="Verdana"/>
          <w:sz w:val="20"/>
          <w:szCs w:val="20"/>
        </w:rPr>
      </w:r>
    </w:p>
    <w:p>
      <w:pPr>
        <w:pStyle w:val="Normal"/>
        <w:suppressAutoHyphens w:val="false"/>
        <w:spacing w:lineRule="auto" w:line="240"/>
        <w:jc w:val="both"/>
        <w:rPr>
          <w:rFonts w:ascii="Verdana" w:hAnsi="Verdana"/>
          <w:sz w:val="20"/>
          <w:szCs w:val="20"/>
        </w:rPr>
      </w:pPr>
      <w:r>
        <w:rPr>
          <w:rFonts w:cs="Arial" w:ascii="Verdana" w:hAnsi="Verdana"/>
          <w:b/>
          <w:sz w:val="20"/>
          <w:szCs w:val="20"/>
        </w:rPr>
        <w:t>14. CONTRATAÇÕES CORRELATAS E/OU INTERDEPENDENTES</w:t>
      </w:r>
    </w:p>
    <w:p>
      <w:pPr>
        <w:pStyle w:val="Normal"/>
        <w:suppressAutoHyphens w:val="false"/>
        <w:spacing w:lineRule="auto" w:line="240"/>
        <w:jc w:val="both"/>
        <w:rPr>
          <w:rFonts w:ascii="Verdana" w:hAnsi="Verdana"/>
          <w:sz w:val="20"/>
          <w:szCs w:val="20"/>
        </w:rPr>
      </w:pPr>
      <w:r>
        <w:rPr>
          <w:rFonts w:cs="Arial" w:ascii="Verdana" w:hAnsi="Verdana"/>
          <w:b/>
          <w:bCs/>
          <w:sz w:val="20"/>
          <w:szCs w:val="20"/>
        </w:rPr>
        <w:t>14.1.</w:t>
      </w:r>
      <w:r>
        <w:rPr>
          <w:rFonts w:cs="Arial" w:ascii="Verdana" w:hAnsi="Verdana"/>
          <w:sz w:val="20"/>
          <w:szCs w:val="20"/>
        </w:rPr>
        <w:t xml:space="preserve"> Não se verifica contratações correlatas ou interdependentes para a viabilidade e contratação desta demanda.</w:t>
      </w:r>
    </w:p>
    <w:p>
      <w:pPr>
        <w:pStyle w:val="Normal"/>
        <w:spacing w:lineRule="auto" w:line="240"/>
        <w:jc w:val="both"/>
        <w:rPr>
          <w:rFonts w:ascii="Verdana" w:hAnsi="Verdana" w:cs="Arial"/>
          <w:sz w:val="20"/>
          <w:szCs w:val="20"/>
        </w:rPr>
      </w:pPr>
      <w:r>
        <w:rPr>
          <w:rFonts w:cs="Arial" w:ascii="Verdana" w:hAnsi="Verdana"/>
          <w:sz w:val="20"/>
          <w:szCs w:val="20"/>
        </w:rPr>
      </w:r>
    </w:p>
    <w:p>
      <w:pPr>
        <w:pStyle w:val="Normal"/>
        <w:suppressAutoHyphens w:val="false"/>
        <w:spacing w:lineRule="auto" w:line="240"/>
        <w:jc w:val="both"/>
        <w:rPr>
          <w:rFonts w:ascii="Verdana" w:hAnsi="Verdana"/>
          <w:sz w:val="20"/>
          <w:szCs w:val="20"/>
        </w:rPr>
      </w:pPr>
      <w:r>
        <w:rPr>
          <w:rFonts w:cs="Arial" w:ascii="Verdana" w:hAnsi="Verdana"/>
          <w:b/>
          <w:sz w:val="20"/>
          <w:szCs w:val="20"/>
        </w:rPr>
        <w:t>15. POSSÍVEIS IMPACTOS AMBIENTAIS</w:t>
      </w:r>
    </w:p>
    <w:p>
      <w:pPr>
        <w:pStyle w:val="Normal"/>
        <w:spacing w:lineRule="auto" w:line="240"/>
        <w:jc w:val="both"/>
        <w:rPr>
          <w:rFonts w:ascii="Verdana" w:hAnsi="Verdana"/>
          <w:sz w:val="20"/>
          <w:szCs w:val="20"/>
        </w:rPr>
      </w:pPr>
      <w:r>
        <w:rPr>
          <w:rFonts w:ascii="Verdana" w:hAnsi="Verdana"/>
          <w:b/>
          <w:bCs/>
          <w:sz w:val="20"/>
          <w:szCs w:val="20"/>
        </w:rPr>
        <w:t>15.1.</w:t>
      </w:r>
      <w:r>
        <w:rPr>
          <w:rFonts w:ascii="Verdana" w:hAnsi="Verdana"/>
          <w:sz w:val="20"/>
          <w:szCs w:val="20"/>
        </w:rPr>
        <w:t xml:space="preserve"> Não se verifica impactos ambientais da contratação.</w:t>
      </w:r>
    </w:p>
    <w:p>
      <w:pPr>
        <w:pStyle w:val="Normal"/>
        <w:spacing w:lineRule="auto" w:line="240"/>
        <w:jc w:val="both"/>
        <w:rPr>
          <w:rFonts w:ascii="Verdana" w:hAnsi="Verdana" w:cs="Arial"/>
          <w:sz w:val="20"/>
          <w:szCs w:val="20"/>
        </w:rPr>
      </w:pPr>
      <w:r>
        <w:rPr>
          <w:rFonts w:cs="Arial" w:ascii="Verdana" w:hAnsi="Verdana"/>
          <w:sz w:val="20"/>
          <w:szCs w:val="20"/>
        </w:rPr>
      </w:r>
    </w:p>
    <w:p>
      <w:pPr>
        <w:pStyle w:val="Normal"/>
        <w:spacing w:lineRule="auto" w:line="240"/>
        <w:jc w:val="both"/>
        <w:rPr>
          <w:rFonts w:ascii="Verdana" w:hAnsi="Verdana"/>
          <w:sz w:val="20"/>
          <w:szCs w:val="20"/>
        </w:rPr>
      </w:pPr>
      <w:r>
        <w:rPr>
          <w:rFonts w:cs="Arial" w:ascii="Verdana" w:hAnsi="Verdana"/>
          <w:b/>
          <w:sz w:val="20"/>
          <w:szCs w:val="20"/>
        </w:rPr>
        <w:t>16. DECLARAÇÃO E JUSTIFICATIVA DA VIABILIDADE</w:t>
      </w:r>
    </w:p>
    <w:p>
      <w:pPr>
        <w:pStyle w:val="Normal"/>
        <w:spacing w:lineRule="auto" w:line="240"/>
        <w:jc w:val="both"/>
        <w:rPr>
          <w:rFonts w:ascii="Verdana" w:hAnsi="Verdana"/>
          <w:sz w:val="20"/>
          <w:szCs w:val="20"/>
        </w:rPr>
      </w:pPr>
      <w:r>
        <w:rPr>
          <w:rFonts w:cs="Arial" w:ascii="Verdana" w:hAnsi="Verdana"/>
          <w:b/>
          <w:bCs/>
          <w:sz w:val="20"/>
          <w:szCs w:val="20"/>
        </w:rPr>
        <w:t xml:space="preserve">16.1. </w:t>
      </w:r>
      <w:r>
        <w:rPr>
          <w:rFonts w:cs="Arial" w:ascii="Verdana" w:hAnsi="Verdana"/>
          <w:sz w:val="20"/>
          <w:szCs w:val="20"/>
        </w:rPr>
        <w:t>Neste sentido, a equipe de planejamento deste ETP e de acordo com a autoridade deste requerente, declara viável esta contratação, com base nos elementos apresentados neste documento.</w:t>
      </w:r>
    </w:p>
    <w:p>
      <w:pPr>
        <w:pStyle w:val="Normal"/>
        <w:spacing w:lineRule="auto" w:line="240"/>
        <w:jc w:val="both"/>
        <w:rPr>
          <w:rFonts w:ascii="Verdana" w:hAnsi="Verdana"/>
          <w:sz w:val="20"/>
          <w:szCs w:val="20"/>
        </w:rPr>
      </w:pPr>
      <w:r>
        <w:rPr>
          <w:rFonts w:cs="Arial" w:ascii="Verdana" w:hAnsi="Verdana"/>
          <w:b/>
          <w:bCs/>
          <w:sz w:val="20"/>
          <w:szCs w:val="20"/>
        </w:rPr>
        <w:t xml:space="preserve">16.2. </w:t>
      </w:r>
      <w:r>
        <w:rPr>
          <w:rFonts w:cs="Arial" w:ascii="Verdana" w:hAnsi="Verdana"/>
          <w:sz w:val="20"/>
          <w:szCs w:val="20"/>
        </w:rPr>
        <w:t>Conclui-se que, além dos pontos atualmente atendidos pelo sistema de videomonitoramento e de acesso gratuito à internet, é fundamental contemplar também os locais elencados, de modo a expandir a cobertura para áreas ainda desassistidas. Essa ampliação garantirá a inclusão e o atendimento equitativo de toda a população gabrielense, fortalecendo a segurança pública, promovendo a inclusão digital e assegurando que todos os bairros, tanto da zona urbana quanto das demais regiões do município, se beneficiem de forma plena dessas tecnologias, decidiu-se então pela aquisição do serviço.</w:t>
      </w:r>
    </w:p>
    <w:p>
      <w:pPr>
        <w:pStyle w:val="Normal"/>
        <w:spacing w:lineRule="auto" w:line="240"/>
        <w:jc w:val="both"/>
        <w:rPr>
          <w:rFonts w:ascii="Verdana" w:hAnsi="Verdana" w:cs="Arial"/>
          <w:sz w:val="20"/>
          <w:szCs w:val="20"/>
        </w:rPr>
      </w:pPr>
      <w:r>
        <w:rPr>
          <w:rFonts w:cs="Arial" w:ascii="Verdana" w:hAnsi="Verdana"/>
          <w:sz w:val="20"/>
          <w:szCs w:val="20"/>
        </w:rPr>
      </w:r>
    </w:p>
    <w:p>
      <w:pPr>
        <w:pStyle w:val="Normal"/>
        <w:spacing w:lineRule="auto" w:line="240"/>
        <w:jc w:val="right"/>
        <w:rPr>
          <w:rFonts w:ascii="Verdana" w:hAnsi="Verdana"/>
          <w:sz w:val="20"/>
          <w:szCs w:val="20"/>
        </w:rPr>
      </w:pPr>
      <w:r>
        <w:rPr>
          <w:rFonts w:cs="Arial" w:ascii="Verdana" w:hAnsi="Verdana"/>
          <w:sz w:val="20"/>
          <w:szCs w:val="20"/>
        </w:rPr>
        <w:t xml:space="preserve">São Gabriel da Palha – ES, 16 de outubro de 2025. </w:t>
      </w:r>
    </w:p>
    <w:p>
      <w:pPr>
        <w:pStyle w:val="Normal"/>
        <w:suppressAutoHyphens w:val="false"/>
        <w:spacing w:lineRule="auto" w:line="240"/>
        <w:jc w:val="both"/>
        <w:rPr>
          <w:rFonts w:ascii="Verdana" w:hAnsi="Verdana"/>
          <w:sz w:val="20"/>
          <w:szCs w:val="20"/>
        </w:rPr>
      </w:pPr>
      <w:r>
        <w:rPr>
          <w:rFonts w:cs="Arial" w:ascii="Verdana" w:hAnsi="Verdana"/>
          <w:b/>
          <w:sz w:val="20"/>
          <w:szCs w:val="20"/>
        </w:rPr>
        <w:t>17. RESPONSÁVEIS</w:t>
      </w:r>
    </w:p>
    <w:p>
      <w:pPr>
        <w:pStyle w:val="Normal"/>
        <w:suppressAutoHyphens w:val="false"/>
        <w:spacing w:lineRule="auto" w:line="240"/>
        <w:jc w:val="both"/>
        <w:rPr>
          <w:rFonts w:ascii="Verdana" w:hAnsi="Verdana" w:cs="Arial"/>
          <w:b/>
          <w:sz w:val="20"/>
          <w:szCs w:val="20"/>
        </w:rPr>
      </w:pPr>
      <w:r>
        <w:rPr>
          <w:rFonts w:cs="Arial" w:ascii="Verdana" w:hAnsi="Verdana"/>
          <w:b/>
          <w:sz w:val="20"/>
          <w:szCs w:val="20"/>
        </w:rPr>
      </w:r>
    </w:p>
    <w:tbl>
      <w:tblPr>
        <w:tblStyle w:val="8"/>
        <w:tblW w:w="9746" w:type="dxa"/>
        <w:jc w:val="left"/>
        <w:tblInd w:w="55" w:type="dxa"/>
        <w:tblLayout w:type="fixed"/>
        <w:tblCellMar>
          <w:top w:w="55" w:type="dxa"/>
          <w:left w:w="55" w:type="dxa"/>
          <w:bottom w:w="55" w:type="dxa"/>
          <w:right w:w="55" w:type="dxa"/>
        </w:tblCellMar>
      </w:tblPr>
      <w:tblGrid>
        <w:gridCol w:w="4873"/>
        <w:gridCol w:w="4872"/>
      </w:tblGrid>
      <w:tr>
        <w:trPr/>
        <w:tc>
          <w:tcPr>
            <w:tcW w:w="4873" w:type="dxa"/>
            <w:tcBorders/>
          </w:tcPr>
          <w:p>
            <w:pPr>
              <w:pStyle w:val="Normal"/>
              <w:widowControl w:val="false"/>
              <w:suppressAutoHyphens w:val="false"/>
              <w:spacing w:lineRule="auto" w:line="240" w:before="0" w:after="0"/>
              <w:jc w:val="both"/>
              <w:rPr>
                <w:rFonts w:ascii="Verdana" w:hAnsi="Verdana"/>
                <w:kern w:val="0"/>
                <w:sz w:val="20"/>
                <w:szCs w:val="20"/>
              </w:rPr>
            </w:pPr>
            <w:r>
              <w:rPr>
                <w:rFonts w:cs="Arial" w:ascii="Verdana" w:hAnsi="Verdana"/>
                <w:b/>
                <w:color w:val="000000"/>
                <w:kern w:val="0"/>
                <w:sz w:val="20"/>
                <w:szCs w:val="20"/>
              </w:rPr>
              <w:t>Elaborado por:</w:t>
            </w:r>
          </w:p>
        </w:tc>
        <w:tc>
          <w:tcPr>
            <w:tcW w:w="4872" w:type="dxa"/>
            <w:tcBorders/>
          </w:tcPr>
          <w:p>
            <w:pPr>
              <w:pStyle w:val="Normal"/>
              <w:widowControl w:val="false"/>
              <w:tabs>
                <w:tab w:val="clear" w:pos="708"/>
                <w:tab w:val="left" w:pos="0" w:leader="none"/>
              </w:tabs>
              <w:spacing w:lineRule="auto" w:line="240" w:before="0" w:after="0"/>
              <w:jc w:val="left"/>
              <w:rPr>
                <w:rFonts w:ascii="Verdana" w:hAnsi="Verdana"/>
                <w:kern w:val="0"/>
                <w:sz w:val="20"/>
                <w:szCs w:val="20"/>
              </w:rPr>
            </w:pPr>
            <w:r>
              <w:rPr>
                <w:rFonts w:eastAsia="Arial" w:ascii="Verdana" w:hAnsi="Verdana"/>
                <w:b/>
                <w:bCs/>
                <w:color w:val="000000"/>
                <w:kern w:val="0"/>
                <w:sz w:val="20"/>
                <w:szCs w:val="20"/>
              </w:rPr>
              <w:t>Editado por:</w:t>
            </w:r>
          </w:p>
        </w:tc>
      </w:tr>
      <w:tr>
        <w:trPr/>
        <w:tc>
          <w:tcPr>
            <w:tcW w:w="4873" w:type="dxa"/>
            <w:tcBorders/>
          </w:tcPr>
          <w:p>
            <w:pPr>
              <w:pStyle w:val="Contedodatabela"/>
              <w:widowControl w:val="false"/>
              <w:spacing w:lineRule="auto" w:line="240" w:before="0" w:after="0"/>
              <w:jc w:val="left"/>
              <w:rPr>
                <w:rFonts w:ascii="Verdana" w:hAnsi="Verdana" w:eastAsia="Times New Roman" w:cs="Times New Roman"/>
                <w:color w:val="000000"/>
                <w:kern w:val="0"/>
                <w:sz w:val="20"/>
                <w:szCs w:val="20"/>
              </w:rPr>
            </w:pPr>
            <w:r>
              <w:rPr>
                <w:rFonts w:eastAsia="Times New Roman" w:cs="Times New Roman" w:ascii="Verdana" w:hAnsi="Verdana"/>
                <w:color w:val="000000"/>
                <w:kern w:val="0"/>
                <w:sz w:val="20"/>
                <w:szCs w:val="20"/>
              </w:rPr>
            </w:r>
          </w:p>
          <w:p>
            <w:pPr>
              <w:pStyle w:val="Contedodatabela"/>
              <w:widowControl w:val="false"/>
              <w:spacing w:lineRule="auto" w:line="240" w:before="0" w:after="0"/>
              <w:jc w:val="left"/>
              <w:rPr>
                <w:rFonts w:ascii="Verdana" w:hAnsi="Verdana" w:eastAsia="Times New Roman" w:cs="Times New Roman"/>
                <w:color w:val="000000"/>
                <w:kern w:val="0"/>
                <w:sz w:val="20"/>
                <w:szCs w:val="20"/>
              </w:rPr>
            </w:pPr>
            <w:r>
              <w:rPr>
                <w:rFonts w:eastAsia="Times New Roman" w:cs="Times New Roman" w:ascii="Verdana" w:hAnsi="Verdana"/>
                <w:color w:val="000000"/>
                <w:kern w:val="0"/>
                <w:sz w:val="20"/>
                <w:szCs w:val="20"/>
              </w:rPr>
            </w:r>
          </w:p>
        </w:tc>
        <w:tc>
          <w:tcPr>
            <w:tcW w:w="4872" w:type="dxa"/>
            <w:tcBorders/>
          </w:tcPr>
          <w:p>
            <w:pPr>
              <w:pStyle w:val="Contedodatabela"/>
              <w:widowControl w:val="false"/>
              <w:spacing w:lineRule="auto" w:line="240" w:before="0" w:after="0"/>
              <w:jc w:val="left"/>
              <w:rPr>
                <w:rFonts w:ascii="Verdana" w:hAnsi="Verdana" w:eastAsia="Times New Roman" w:cs="Times New Roman"/>
                <w:color w:val="000000"/>
                <w:kern w:val="0"/>
                <w:sz w:val="20"/>
                <w:szCs w:val="20"/>
              </w:rPr>
            </w:pPr>
            <w:r>
              <w:rPr>
                <w:rFonts w:eastAsia="Times New Roman" w:cs="Times New Roman" w:ascii="Verdana" w:hAnsi="Verdana"/>
                <w:color w:val="000000"/>
                <w:kern w:val="0"/>
                <w:sz w:val="20"/>
                <w:szCs w:val="20"/>
              </w:rPr>
            </w:r>
          </w:p>
        </w:tc>
      </w:tr>
      <w:tr>
        <w:trPr/>
        <w:tc>
          <w:tcPr>
            <w:tcW w:w="4873" w:type="dxa"/>
            <w:tcBorders/>
          </w:tcPr>
          <w:p>
            <w:pPr>
              <w:pStyle w:val="Normal"/>
              <w:widowControl w:val="false"/>
              <w:spacing w:lineRule="auto" w:line="240" w:before="0" w:after="0"/>
              <w:jc w:val="center"/>
              <w:rPr>
                <w:rFonts w:ascii="Verdana" w:hAnsi="Verdana"/>
                <w:kern w:val="0"/>
                <w:sz w:val="20"/>
                <w:szCs w:val="20"/>
              </w:rPr>
            </w:pPr>
            <w:r>
              <w:rPr>
                <w:rFonts w:cs="Arial" w:ascii="Verdana" w:hAnsi="Verdana"/>
                <w:b/>
                <w:bCs/>
                <w:kern w:val="0"/>
                <w:sz w:val="20"/>
                <w:szCs w:val="20"/>
              </w:rPr>
              <w:t>RÔMULO SARTORI CAMILO</w:t>
            </w:r>
          </w:p>
          <w:p>
            <w:pPr>
              <w:pStyle w:val="Normal"/>
              <w:widowControl w:val="false"/>
              <w:spacing w:lineRule="auto" w:line="240" w:before="0" w:after="0"/>
              <w:jc w:val="center"/>
              <w:rPr>
                <w:rFonts w:ascii="Verdana" w:hAnsi="Verdana"/>
                <w:kern w:val="0"/>
                <w:sz w:val="20"/>
                <w:szCs w:val="20"/>
              </w:rPr>
            </w:pPr>
            <w:r>
              <w:rPr>
                <w:rFonts w:ascii="Verdana" w:hAnsi="Verdana"/>
                <w:kern w:val="0"/>
                <w:sz w:val="20"/>
                <w:szCs w:val="20"/>
              </w:rPr>
              <w:t>Coordenador do Núcleo de Tecnologia da Informação e Comunicação</w:t>
            </w:r>
          </w:p>
          <w:p>
            <w:pPr>
              <w:pStyle w:val="Normal"/>
              <w:widowControl w:val="false"/>
              <w:spacing w:lineRule="auto" w:line="240" w:before="0" w:after="0"/>
              <w:jc w:val="center"/>
              <w:rPr>
                <w:rFonts w:ascii="Verdana" w:hAnsi="Verdana"/>
                <w:kern w:val="0"/>
                <w:sz w:val="20"/>
                <w:szCs w:val="20"/>
              </w:rPr>
            </w:pPr>
            <w:r>
              <w:rPr>
                <w:rFonts w:cs="Arial" w:ascii="Verdana" w:hAnsi="Verdana"/>
                <w:color w:themeColor="text1" w:val="000000"/>
                <w:kern w:val="0"/>
                <w:sz w:val="20"/>
                <w:szCs w:val="20"/>
              </w:rPr>
              <w:t>Matrícula nº 3148</w:t>
            </w:r>
          </w:p>
        </w:tc>
        <w:tc>
          <w:tcPr>
            <w:tcW w:w="4872" w:type="dxa"/>
            <w:tcBorders/>
          </w:tcPr>
          <w:p>
            <w:pPr>
              <w:pStyle w:val="Normal"/>
              <w:widowControl w:val="false"/>
              <w:tabs>
                <w:tab w:val="clear" w:pos="708"/>
                <w:tab w:val="left" w:pos="0" w:leader="none"/>
              </w:tabs>
              <w:spacing w:lineRule="auto" w:line="240" w:before="0" w:after="0"/>
              <w:jc w:val="center"/>
              <w:rPr>
                <w:rFonts w:ascii="Verdana" w:hAnsi="Verdana"/>
                <w:kern w:val="0"/>
                <w:sz w:val="20"/>
                <w:szCs w:val="20"/>
              </w:rPr>
            </w:pPr>
            <w:r>
              <w:rPr>
                <w:rFonts w:ascii="Verdana" w:hAnsi="Verdana"/>
                <w:b/>
                <w:bCs/>
                <w:kern w:val="0"/>
                <w:sz w:val="20"/>
                <w:szCs w:val="20"/>
              </w:rPr>
              <w:t>FABRÍCIO CRISTIAN BASTO</w:t>
            </w:r>
          </w:p>
          <w:p>
            <w:pPr>
              <w:pStyle w:val="Normal"/>
              <w:widowControl w:val="false"/>
              <w:tabs>
                <w:tab w:val="clear" w:pos="708"/>
                <w:tab w:val="left" w:pos="0" w:leader="none"/>
              </w:tabs>
              <w:spacing w:lineRule="auto" w:line="240" w:before="0" w:after="0"/>
              <w:jc w:val="center"/>
              <w:rPr>
                <w:rFonts w:ascii="Verdana" w:hAnsi="Verdana"/>
                <w:kern w:val="0"/>
                <w:sz w:val="20"/>
                <w:szCs w:val="20"/>
              </w:rPr>
            </w:pPr>
            <w:r>
              <w:rPr>
                <w:rFonts w:eastAsia="Arial" w:cs="Arial" w:ascii="Verdana" w:hAnsi="Verdana"/>
                <w:color w:val="000000"/>
                <w:kern w:val="0"/>
                <w:sz w:val="20"/>
                <w:szCs w:val="20"/>
              </w:rPr>
              <w:t>Administrador   - Mat. 3907</w:t>
            </w:r>
          </w:p>
        </w:tc>
      </w:tr>
      <w:tr>
        <w:trPr/>
        <w:tc>
          <w:tcPr>
            <w:tcW w:w="9745" w:type="dxa"/>
            <w:gridSpan w:val="2"/>
            <w:tcBorders/>
          </w:tcPr>
          <w:p>
            <w:pPr>
              <w:pStyle w:val="Normal"/>
              <w:widowControl w:val="false"/>
              <w:spacing w:lineRule="auto" w:line="240" w:before="0" w:after="0"/>
              <w:jc w:val="center"/>
              <w:rPr>
                <w:rFonts w:ascii="Verdana" w:hAnsi="Verdana" w:eastAsia="Arial"/>
                <w:b/>
                <w:bCs/>
                <w:color w:val="000000"/>
                <w:kern w:val="0"/>
                <w:sz w:val="20"/>
                <w:szCs w:val="20"/>
              </w:rPr>
            </w:pPr>
            <w:r>
              <w:rPr>
                <w:rFonts w:eastAsia="Arial" w:ascii="Verdana" w:hAnsi="Verdana"/>
                <w:b/>
                <w:bCs/>
                <w:color w:val="000000"/>
                <w:kern w:val="0"/>
                <w:sz w:val="20"/>
                <w:szCs w:val="20"/>
              </w:rPr>
            </w:r>
          </w:p>
          <w:p>
            <w:pPr>
              <w:pStyle w:val="Normal"/>
              <w:widowControl w:val="false"/>
              <w:spacing w:lineRule="auto" w:line="240" w:before="0" w:after="0"/>
              <w:jc w:val="center"/>
              <w:rPr>
                <w:rFonts w:ascii="Verdana" w:hAnsi="Verdana"/>
                <w:kern w:val="0"/>
                <w:sz w:val="20"/>
                <w:szCs w:val="20"/>
              </w:rPr>
            </w:pPr>
            <w:r>
              <w:rPr>
                <w:rFonts w:eastAsia="Arial" w:ascii="Verdana" w:hAnsi="Verdana"/>
                <w:b/>
                <w:bCs/>
                <w:color w:val="000000"/>
                <w:kern w:val="0"/>
                <w:sz w:val="20"/>
                <w:szCs w:val="20"/>
              </w:rPr>
              <w:t>Autorizado por:</w:t>
            </w:r>
          </w:p>
        </w:tc>
      </w:tr>
      <w:tr>
        <w:trPr/>
        <w:tc>
          <w:tcPr>
            <w:tcW w:w="9745" w:type="dxa"/>
            <w:gridSpan w:val="2"/>
            <w:tcBorders/>
          </w:tcPr>
          <w:p>
            <w:pPr>
              <w:pStyle w:val="Normal"/>
              <w:widowControl w:val="false"/>
              <w:spacing w:lineRule="auto" w:line="240" w:before="126" w:after="46"/>
              <w:ind w:left="280"/>
              <w:jc w:val="center"/>
              <w:rPr>
                <w:rFonts w:ascii="Verdana" w:hAnsi="Verdana"/>
                <w:kern w:val="0"/>
                <w:sz w:val="20"/>
                <w:szCs w:val="20"/>
              </w:rPr>
            </w:pPr>
            <w:r>
              <w:rPr>
                <w:rFonts w:ascii="Verdana" w:hAnsi="Verdana"/>
                <w:kern w:val="0"/>
                <w:sz w:val="20"/>
                <w:szCs w:val="20"/>
              </w:rPr>
            </w:r>
          </w:p>
          <w:p>
            <w:pPr>
              <w:pStyle w:val="Normal"/>
              <w:widowControl w:val="false"/>
              <w:spacing w:lineRule="auto" w:line="240" w:before="126" w:after="46"/>
              <w:ind w:left="280"/>
              <w:jc w:val="center"/>
              <w:rPr>
                <w:rFonts w:ascii="Verdana" w:hAnsi="Verdana"/>
                <w:kern w:val="0"/>
                <w:sz w:val="20"/>
                <w:szCs w:val="20"/>
              </w:rPr>
            </w:pPr>
            <w:r>
              <w:rPr>
                <w:rFonts w:ascii="Verdana" w:hAnsi="Verdana"/>
                <w:b/>
                <w:kern w:val="0"/>
                <w:sz w:val="20"/>
                <w:szCs w:val="20"/>
              </w:rPr>
              <w:br/>
              <w:t>FRANCIELI DA ROCHA ÁVILA</w:t>
            </w:r>
          </w:p>
          <w:p>
            <w:pPr>
              <w:pStyle w:val="Normal"/>
              <w:widowControl w:val="false"/>
              <w:spacing w:lineRule="auto" w:line="240" w:before="0" w:after="0"/>
              <w:ind w:left="280"/>
              <w:jc w:val="center"/>
              <w:rPr>
                <w:rFonts w:ascii="Verdana" w:hAnsi="Verdana"/>
                <w:kern w:val="0"/>
                <w:sz w:val="20"/>
                <w:szCs w:val="20"/>
              </w:rPr>
            </w:pPr>
            <w:r>
              <w:rPr>
                <w:rFonts w:ascii="Verdana" w:hAnsi="Verdana"/>
                <w:kern w:val="0"/>
                <w:sz w:val="20"/>
                <w:szCs w:val="20"/>
              </w:rPr>
              <w:t>Secretária Municipal de Administração</w:t>
            </w:r>
          </w:p>
          <w:p>
            <w:pPr>
              <w:pStyle w:val="Normal"/>
              <w:widowControl w:val="false"/>
              <w:spacing w:lineRule="auto" w:line="240" w:before="12" w:after="0"/>
              <w:ind w:left="280"/>
              <w:jc w:val="center"/>
              <w:rPr>
                <w:rFonts w:ascii="Verdana" w:hAnsi="Verdana"/>
                <w:kern w:val="0"/>
                <w:sz w:val="20"/>
                <w:szCs w:val="20"/>
              </w:rPr>
            </w:pPr>
            <w:r>
              <w:rPr>
                <w:rFonts w:ascii="Verdana" w:hAnsi="Verdana"/>
                <w:color w:val="000000"/>
                <w:kern w:val="0"/>
                <w:sz w:val="20"/>
                <w:szCs w:val="20"/>
              </w:rPr>
              <w:t>Matrícula nº 3459</w:t>
            </w:r>
          </w:p>
        </w:tc>
      </w:tr>
    </w:tbl>
    <w:p>
      <w:pPr>
        <w:pStyle w:val="Normal"/>
        <w:suppressAutoHyphens w:val="false"/>
        <w:spacing w:lineRule="auto" w:line="240"/>
        <w:jc w:val="both"/>
        <w:rPr>
          <w:rFonts w:ascii="Verdana" w:hAnsi="Verdana" w:cs="Arial"/>
          <w:b/>
          <w:color w:val="0000FF"/>
          <w:sz w:val="20"/>
          <w:szCs w:val="20"/>
        </w:rPr>
      </w:pPr>
      <w:r>
        <w:rPr>
          <w:rFonts w:cs="Arial" w:ascii="Verdana" w:hAnsi="Verdana"/>
          <w:b/>
          <w:color w:val="0000FF"/>
          <w:sz w:val="20"/>
          <w:szCs w:val="20"/>
        </w:rPr>
      </w:r>
    </w:p>
    <w:sectPr>
      <w:headerReference w:type="even" r:id="rId4"/>
      <w:headerReference w:type="default" r:id="rId5"/>
      <w:headerReference w:type="first" r:id="rId6"/>
      <w:footerReference w:type="even" r:id="rId7"/>
      <w:footerReference w:type="default" r:id="rId8"/>
      <w:footerReference w:type="first" r:id="rId9"/>
      <w:type w:val="nextPage"/>
      <w:pgSz w:w="11906" w:h="16838"/>
      <w:pgMar w:left="1083" w:right="1083" w:gutter="0" w:header="708" w:top="1440" w:footer="1276" w:bottom="2001"/>
      <w:pgNumType w:fmt="decimal"/>
      <w:formProt w:val="false"/>
      <w:textDirection w:val="lrTb"/>
      <w:docGrid w:type="default" w:linePitch="360" w:charSpace="9011"/>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Symbol">
    <w:charset w:val="00"/>
    <w:family w:val="roman"/>
    <w:pitch w:val="variable"/>
  </w:font>
  <w:font w:name="Courier New">
    <w:charset w:val="00"/>
    <w:family w:val="roman"/>
    <w:pitch w:val="variable"/>
  </w:font>
  <w:font w:name="Tahoma">
    <w:charset w:val="00"/>
    <w:family w:val="roman"/>
    <w:pitch w:val="variable"/>
  </w:font>
  <w:font w:name="Liberation Sans">
    <w:altName w:val="Arial"/>
    <w:charset w:val="00"/>
    <w:family w:val="roman"/>
    <w:pitch w:val="variable"/>
  </w:font>
  <w:font w:name="OpenSymbol">
    <w:altName w:val="Arial Unicode MS"/>
    <w:charset w:val="00"/>
    <w:family w:val="roman"/>
    <w:pitch w:val="variable"/>
  </w:font>
  <w:font w:name="Liberation Sans">
    <w:altName w:val="Arial"/>
    <w:charset w:val="00"/>
    <w:family w:val="swiss"/>
    <w:pitch w:val="variable"/>
  </w:font>
  <w:font w:name="Arial">
    <w:charset w:val="00"/>
    <w:family w:val="roman"/>
    <w:pitch w:val="variable"/>
  </w:font>
  <w:font w:name="Calibri">
    <w:charset w:val="00"/>
    <w:family w:val="roman"/>
    <w:pitch w:val="variable"/>
  </w:font>
  <w:font w:name="IPMDOI+TimesNewRoman">
    <w:charset w:val="00"/>
    <w:family w:val="roman"/>
    <w:pitch w:val="variable"/>
  </w:font>
  <w:font w:name="Univers 45 Light">
    <w:charset w:val="00"/>
    <w:family w:val="roman"/>
    <w:pitch w:val="variable"/>
  </w:font>
  <w:font w:name="Verdana">
    <w:charset w:val="01"/>
    <w:family w:val="swiss"/>
    <w:pitch w:val="variable"/>
  </w:font>
  <w:font w:name="Verdana">
    <w:charset w:val="00"/>
    <w:family w:val="roman"/>
    <w:pitch w:val="variable"/>
  </w:font>
  <w:font w:name="Arial Narrow">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08"/>
        <w:tab w:val="left" w:pos="540" w:leader="none"/>
        <w:tab w:val="center" w:pos="4419" w:leader="none"/>
        <w:tab w:val="center" w:pos="4536" w:leader="none"/>
        <w:tab w:val="right" w:pos="8838" w:leader="none"/>
      </w:tabs>
      <w:spacing w:lineRule="auto" w:line="240" w:before="0" w:after="0"/>
      <w:jc w:val="center"/>
      <w:rPr/>
    </w:pPr>
    <w:r>
      <w:rPr>
        <w:rStyle w:val="PageNumber"/>
        <w:rFonts w:cs="Tahoma" w:ascii="Tahoma" w:hAnsi="Tahoma"/>
        <w:sz w:val="18"/>
        <w:szCs w:val="18"/>
      </w:rPr>
      <w:t>Praça Vicente Glazar, 159 | São Gabriel da Palha-ES | CEP 29780 000</w:t>
    </w:r>
  </w:p>
  <w:p>
    <w:pPr>
      <w:pStyle w:val="Normal"/>
      <w:spacing w:lineRule="auto" w:line="240" w:before="0" w:after="0"/>
      <w:jc w:val="center"/>
      <w:rPr/>
    </w:pPr>
    <w:r>
      <w:rPr>
        <w:rStyle w:val="PageNumber"/>
        <w:rFonts w:cs="Tahoma" w:ascii="Tahoma" w:hAnsi="Tahoma"/>
        <w:sz w:val="18"/>
        <w:szCs w:val="18"/>
      </w:rPr>
      <w:t>Fone/Fax (027) 3727-1366 | E-mail: administracao@saogabriel.es.gov.br</w:t>
    </w:r>
  </w:p>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08"/>
        <w:tab w:val="left" w:pos="540" w:leader="none"/>
        <w:tab w:val="center" w:pos="4419" w:leader="none"/>
        <w:tab w:val="center" w:pos="4536" w:leader="none"/>
        <w:tab w:val="right" w:pos="8838" w:leader="none"/>
      </w:tabs>
      <w:spacing w:lineRule="auto" w:line="240" w:before="0" w:after="0"/>
      <w:jc w:val="center"/>
      <w:rPr/>
    </w:pPr>
    <w:r>
      <w:rPr>
        <w:rStyle w:val="PageNumber"/>
        <w:rFonts w:cs="Tahoma" w:ascii="Tahoma" w:hAnsi="Tahoma"/>
        <w:sz w:val="18"/>
        <w:szCs w:val="18"/>
      </w:rPr>
      <w:t>Praça Vicente Glazar, 159 | São Gabriel da Palha-ES | CEP 29780 000</w:t>
    </w:r>
  </w:p>
  <w:p>
    <w:pPr>
      <w:pStyle w:val="Normal"/>
      <w:spacing w:lineRule="auto" w:line="240" w:before="0" w:after="0"/>
      <w:jc w:val="center"/>
      <w:rPr/>
    </w:pPr>
    <w:r>
      <w:rPr>
        <w:rStyle w:val="PageNumber"/>
        <w:rFonts w:cs="Tahoma" w:ascii="Tahoma" w:hAnsi="Tahoma"/>
        <w:sz w:val="18"/>
        <w:szCs w:val="18"/>
      </w:rPr>
      <w:t>Fone/Fax (027) 3727-1366 | E-mail: administracao@saogabriel.es.gov.br</w:t>
    </w:r>
  </w:p>
  <w:p>
    <w:pPr>
      <w:pStyle w:val="Footer"/>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drawing>
        <wp:anchor behindDoc="1" distT="0" distB="0" distL="152400" distR="120015" simplePos="0" locked="0" layoutInCell="0" allowOverlap="1" relativeHeight="22">
          <wp:simplePos x="0" y="0"/>
          <wp:positionH relativeFrom="column">
            <wp:posOffset>-165100</wp:posOffset>
          </wp:positionH>
          <wp:positionV relativeFrom="paragraph">
            <wp:posOffset>-22225</wp:posOffset>
          </wp:positionV>
          <wp:extent cx="644525" cy="542290"/>
          <wp:effectExtent l="0" t="0" r="0" b="0"/>
          <wp:wrapSquare wrapText="bothSides"/>
          <wp:docPr id="3"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1" descr=""/>
                  <pic:cNvPicPr>
                    <a:picLocks noChangeAspect="1" noChangeArrowheads="1"/>
                  </pic:cNvPicPr>
                </pic:nvPicPr>
                <pic:blipFill>
                  <a:blip r:embed="rId1"/>
                  <a:srcRect l="-112" t="-133" r="-112" b="-133"/>
                  <a:stretch>
                    <a:fillRect/>
                  </a:stretch>
                </pic:blipFill>
                <pic:spPr bwMode="auto">
                  <a:xfrm>
                    <a:off x="0" y="0"/>
                    <a:ext cx="644525" cy="542290"/>
                  </a:xfrm>
                  <a:prstGeom prst="rect">
                    <a:avLst/>
                  </a:prstGeom>
                </pic:spPr>
              </pic:pic>
            </a:graphicData>
          </a:graphic>
        </wp:anchor>
      </w:drawing>
    </w:r>
    <w:r>
      <w:rPr>
        <w:rFonts w:cs="Verdana" w:ascii="Verdana" w:hAnsi="Verdana"/>
        <w:sz w:val="26"/>
        <w:szCs w:val="26"/>
      </w:rPr>
      <w:t>PREFEITURA MUNICIPAL DE SÃO GABRIEL DA PALHA</w:t>
    </w:r>
    <w:r>
      <w:rPr>
        <w:rFonts w:cs="Verdana" w:ascii="Verdana" w:hAnsi="Verdana"/>
        <w:b/>
        <w:sz w:val="26"/>
        <w:szCs w:val="26"/>
      </w:rPr>
      <w:br/>
    </w:r>
    <w:r>
      <w:rPr>
        <w:rFonts w:cs="Calibri" w:ascii="Calibri" w:hAnsi="Calibri"/>
        <w:sz w:val="22"/>
        <w:szCs w:val="22"/>
      </w:rPr>
      <w:t>ESTADO DO ESPÍRITO SANTO</w:t>
    </w:r>
    <w:r>
      <w:rPr>
        <w:rFonts w:cs="Verdana" w:ascii="Verdana" w:hAnsi="Verdana"/>
        <w:b/>
        <w:sz w:val="22"/>
        <w:szCs w:val="22"/>
      </w:rPr>
      <w:br/>
    </w:r>
    <w:r>
      <w:rPr>
        <w:rFonts w:cs="Arial Narrow" w:ascii="Arial Narrow" w:hAnsi="Arial Narrow"/>
        <w:b/>
        <w:sz w:val="22"/>
        <w:szCs w:val="22"/>
      </w:rPr>
      <w:t>Secretaria Municipal de Administração</w:t>
    </w:r>
  </w:p>
  <w:p>
    <w:pPr>
      <w:pStyle w:val="Header"/>
      <w:rPr>
        <w:rFonts w:ascii="Arial Narrow" w:hAnsi="Arial Narrow" w:cs="Arial Narrow"/>
        <w:b/>
        <w:sz w:val="22"/>
        <w:szCs w:val="22"/>
      </w:rPr>
    </w:pPr>
    <w:r>
      <w:rPr>
        <w:rFonts w:cs="Arial Narrow" w:ascii="Arial Narrow" w:hAnsi="Arial Narrow"/>
        <w:b/>
        <w:sz w:val="22"/>
        <w:szCs w:val="22"/>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drawing>
        <wp:anchor behindDoc="1" distT="0" distB="0" distL="152400" distR="120015" simplePos="0" locked="0" layoutInCell="0" allowOverlap="1" relativeHeight="22">
          <wp:simplePos x="0" y="0"/>
          <wp:positionH relativeFrom="column">
            <wp:posOffset>-165100</wp:posOffset>
          </wp:positionH>
          <wp:positionV relativeFrom="paragraph">
            <wp:posOffset>-22225</wp:posOffset>
          </wp:positionV>
          <wp:extent cx="644525" cy="542290"/>
          <wp:effectExtent l="0" t="0" r="0" b="0"/>
          <wp:wrapSquare wrapText="bothSides"/>
          <wp:docPr id="4"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1" descr=""/>
                  <pic:cNvPicPr>
                    <a:picLocks noChangeAspect="1" noChangeArrowheads="1"/>
                  </pic:cNvPicPr>
                </pic:nvPicPr>
                <pic:blipFill>
                  <a:blip r:embed="rId1"/>
                  <a:srcRect l="-112" t="-133" r="-112" b="-133"/>
                  <a:stretch>
                    <a:fillRect/>
                  </a:stretch>
                </pic:blipFill>
                <pic:spPr bwMode="auto">
                  <a:xfrm>
                    <a:off x="0" y="0"/>
                    <a:ext cx="644525" cy="542290"/>
                  </a:xfrm>
                  <a:prstGeom prst="rect">
                    <a:avLst/>
                  </a:prstGeom>
                </pic:spPr>
              </pic:pic>
            </a:graphicData>
          </a:graphic>
        </wp:anchor>
      </w:drawing>
    </w:r>
    <w:r>
      <w:rPr>
        <w:rFonts w:cs="Verdana" w:ascii="Verdana" w:hAnsi="Verdana"/>
        <w:sz w:val="26"/>
        <w:szCs w:val="26"/>
      </w:rPr>
      <w:t>PREFEITURA MUNICIPAL DE SÃO GABRIEL DA PALHA</w:t>
    </w:r>
    <w:r>
      <w:rPr>
        <w:rFonts w:cs="Verdana" w:ascii="Verdana" w:hAnsi="Verdana"/>
        <w:b/>
        <w:sz w:val="26"/>
        <w:szCs w:val="26"/>
      </w:rPr>
      <w:br/>
    </w:r>
    <w:r>
      <w:rPr>
        <w:rFonts w:cs="Calibri" w:ascii="Calibri" w:hAnsi="Calibri"/>
        <w:sz w:val="22"/>
        <w:szCs w:val="22"/>
      </w:rPr>
      <w:t>ESTADO DO ESPÍRITO SANTO</w:t>
    </w:r>
    <w:r>
      <w:rPr>
        <w:rFonts w:cs="Verdana" w:ascii="Verdana" w:hAnsi="Verdana"/>
        <w:b/>
        <w:sz w:val="22"/>
        <w:szCs w:val="22"/>
      </w:rPr>
      <w:br/>
    </w:r>
    <w:r>
      <w:rPr>
        <w:rFonts w:cs="Arial Narrow" w:ascii="Arial Narrow" w:hAnsi="Arial Narrow"/>
        <w:b/>
        <w:sz w:val="22"/>
        <w:szCs w:val="22"/>
      </w:rPr>
      <w:t>Secretaria Municipal de Administração</w:t>
    </w:r>
  </w:p>
  <w:p>
    <w:pPr>
      <w:pStyle w:val="Header"/>
      <w:rPr>
        <w:rFonts w:ascii="Arial Narrow" w:hAnsi="Arial Narrow" w:cs="Arial Narrow"/>
        <w:b/>
        <w:sz w:val="22"/>
        <w:szCs w:val="22"/>
      </w:rPr>
    </w:pPr>
    <w:r>
      <w:rPr>
        <w:rFonts w:cs="Arial Narrow" w:ascii="Arial Narrow" w:hAnsi="Arial Narrow"/>
        <w:b/>
        <w:sz w:val="22"/>
        <w:szCs w:val="22"/>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8"/>
      <w:numFmt w:val="decimal"/>
      <w:lvlText w:val="%1."/>
      <w:lvlJc w:val="left"/>
      <w:pPr>
        <w:tabs>
          <w:tab w:val="num" w:pos="0"/>
        </w:tabs>
        <w:ind w:left="360" w:hanging="360"/>
      </w:pPr>
      <w:rPr>
        <w:b/>
        <w:bCs/>
      </w:rPr>
    </w:lvl>
    <w:lvl w:ilvl="1">
      <w:start w:val="1"/>
      <w:numFmt w:val="decimal"/>
      <w:lvlText w:val="%1.%2."/>
      <w:lvlJc w:val="left"/>
      <w:pPr>
        <w:tabs>
          <w:tab w:val="num" w:pos="0"/>
        </w:tabs>
        <w:ind w:left="792" w:hanging="432"/>
      </w:pPr>
      <w:rPr>
        <w:sz w:val="24"/>
        <w:b/>
        <w:szCs w:val="24"/>
        <w:bCs/>
        <w:rFonts w:ascii="Times New Roman" w:hAnsi="Times New Roman"/>
      </w:rPr>
    </w:lvl>
    <w:lvl w:ilvl="2">
      <w:start w:val="1"/>
      <w:numFmt w:val="decimal"/>
      <w:lvlText w:val="%1.%2.%3."/>
      <w:lvlJc w:val="left"/>
      <w:pPr>
        <w:tabs>
          <w:tab w:val="num" w:pos="0"/>
        </w:tabs>
        <w:ind w:left="1224" w:hanging="504"/>
      </w:pPr>
      <w:rPr>
        <w:sz w:val="24"/>
        <w:b/>
        <w:szCs w:val="24"/>
        <w:bCs/>
        <w:rFonts w:ascii="Times New Roman" w:hAnsi="Times New Roman"/>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embedSystemFonts/>
  <w:defaultTabStop w:val="708"/>
  <w:autoHyphenation w:val="true"/>
  <w:hyphenationZone w:val="425"/>
  <w:compat>
    <w:compatSetting w:name="compatibilityMode" w:uri="http://schemas.microsoft.com/office/word" w:val="12"/>
  </w:compat>
  <w:themeFontLang w:val="zh-CN" w:eastAsia="zh-CN" w:bidi="zh-CN"/>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zh-CN" w:bidi="hi-IN"/>
      </w:rPr>
    </w:rPrDefault>
    <w:pPrDefault>
      <w:pPr>
        <w:suppressAutoHyphens w:val="true"/>
      </w:pPr>
    </w:pPrDefault>
  </w:docDefaults>
  <w:latentStyles w:defLockedState="0" w:defUIPriority="99" w:defSemiHidden="1" w:defUnhideWhenUsed="1" w:defQFormat="0" w:count="260">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semiHidden="0" w:unhideWhenUsed="0" w:qFormat="1"/>
    <w:lsdException w:name="heading 9" w:uiPriority="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0" w:semiHidden="0" w:unhideWhenUsed="0" w:qFormat="1"/>
    <w:lsdException w:name="annotation text" w:uiPriority="99"/>
    <w:lsdException w:name="header" w:uiPriority="0" w:semiHidden="0" w:unhideWhenUsed="0" w:qFormat="1"/>
    <w:lsdException w:name="footer" w:uiPriority="0" w:semiHidden="0" w:unhideWhenUsed="0" w:qFormat="1"/>
    <w:lsdException w:name="index heading" w:uiPriority="99"/>
    <w:lsdException w:name="caption" w:uiPriority="0" w:semiHidden="0" w:unhideWhenUsed="0" w:qFormat="1"/>
    <w:lsdException w:name="table of figures" w:uiPriority="99"/>
    <w:lsdException w:name="envelope address" w:uiPriority="99"/>
    <w:lsdException w:name="envelope return" w:uiPriority="99"/>
    <w:lsdException w:name="footnote reference" w:uiPriority="0" w:semiHidden="0" w:unhideWhenUsed="0" w:qFormat="1"/>
    <w:lsdException w:name="annotation reference" w:uiPriority="99"/>
    <w:lsdException w:name="line number" w:uiPriority="0" w:semiHidden="0" w:unhideWhenUsed="0" w:qFormat="1"/>
    <w:lsdException w:name="page number" w:uiPriority="0" w:semiHidden="0" w:unhideWhenUsed="0" w:qFormat="1"/>
    <w:lsdException w:name="endnote reference" w:uiPriority="99"/>
    <w:lsdException w:name="endnote text" w:uiPriority="99"/>
    <w:lsdException w:name="table of authorities" w:uiPriority="99"/>
    <w:lsdException w:name="macro" w:uiPriority="99"/>
    <w:lsdException w:name="toa heading" w:uiPriority="99"/>
    <w:lsdException w:name="List" w:uiPriority="0" w:semiHidden="0" w:unhideWhenUsed="0" w:qFormat="1"/>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List Number 3" w:uiPriority="99"/>
    <w:lsdException w:name="List Number 4" w:uiPriority="99"/>
    <w:lsdException w:name="List Number 5" w:uiPriority="99"/>
    <w:lsdException w:name="Title" w:uiPriority="10" w:semiHidden="0" w:unhideWhenUsed="0" w:qFormat="1"/>
    <w:lsdException w:name="Closing" w:uiPriority="99"/>
    <w:lsdException w:name="Signature" w:uiPriority="99"/>
    <w:lsdException w:name="Default Paragraph Font" w:uiPriority="1" w:qFormat="1"/>
    <w:lsdException w:name="Body Text" w:uiPriority="0" w:semiHidden="0" w:unhideWhenUsed="0" w:qFormat="1"/>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uiPriority="11" w:semiHidden="0" w:unhideWhenUsed="0" w:qFormat="1"/>
    <w:lsdException w:name="Salutation" w:uiPriority="99"/>
    <w:lsdException w:name="Date" w:uiPriority="99"/>
    <w:lsdException w:name="Body Text First Indent" w:uiPriority="99"/>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0" w:semiHidden="0" w:unhideWhenUsed="0" w:qFormat="1"/>
    <w:lsdException w:name="FollowedHyperlink" w:uiPriority="99"/>
    <w:lsdException w:name="Strong" w:uiPriority="22" w:semiHidden="0" w:unhideWhenUsed="0" w:qFormat="1"/>
    <w:lsdException w:name="Emphasis" w:uiPriority="20" w:semiHidden="0" w:unhideWhenUsed="0" w:qFormat="1"/>
    <w:lsdException w:name="Document Map" w:uiPriority="99"/>
    <w:lsdException w:name="Plain Text" w:uiPriority="99"/>
    <w:lsdException w:name="E-mail Signature" w:uiPriority="99"/>
    <w:lsdException w:name="Normal (Web)"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qFormat="1"/>
    <w:lsdException w:name="annotation subject"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0" w:semiHidden="0" w:unhideWhenUsed="0" w:qFormat="1"/>
    <w:lsdException w:name="Table Grid" w:uiPriority="39" w:semiHidden="0" w:unhideWhenUsed="0" w:qFormat="1"/>
    <w:lsdException w:name="Table Theme" w:uiPriority="99"/>
    <w:lsdException w:name="List Paragraph" w:uiPriority="0" w:semiHidden="0" w:unhideWhenUsed="0" w:qFormat="1"/>
  </w:latentStyles>
  <w:style w:type="paragraph" w:styleId="Normal" w:default="1">
    <w:name w:val="Normal"/>
    <w:uiPriority w:val="0"/>
    <w:qFormat/>
    <w:pPr>
      <w:widowControl/>
      <w:suppressAutoHyphens w:val="true"/>
      <w:overflowPunct w:val="true"/>
      <w:bidi w:val="0"/>
      <w:spacing w:before="0" w:after="0"/>
      <w:jc w:val="left"/>
    </w:pPr>
    <w:rPr>
      <w:rFonts w:ascii="Times New Roman" w:hAnsi="Times New Roman" w:eastAsia="Times New Roman" w:cs="Times New Roman"/>
      <w:color w:val="auto"/>
      <w:kern w:val="0"/>
      <w:sz w:val="20"/>
      <w:szCs w:val="20"/>
      <w:lang w:val="pt-BR" w:eastAsia="zh-CN" w:bidi="ar-SA"/>
    </w:rPr>
  </w:style>
  <w:style w:type="paragraph" w:styleId="Heading1">
    <w:name w:val="Heading 1"/>
    <w:basedOn w:val="Normal"/>
    <w:next w:val="Normal"/>
    <w:uiPriority w:val="9"/>
    <w:qFormat/>
    <w:pPr>
      <w:keepNext w:val="true"/>
      <w:tabs>
        <w:tab w:val="clear" w:pos="708"/>
        <w:tab w:val="left" w:pos="0" w:leader="none"/>
      </w:tabs>
      <w:overflowPunct w:val="false"/>
      <w:ind w:hanging="432" w:left="432"/>
      <w:jc w:val="center"/>
      <w:textAlignment w:val="baseline"/>
      <w:outlineLvl w:val="0"/>
    </w:pPr>
    <w:rPr>
      <w:b/>
      <w:bCs/>
      <w:sz w:val="24"/>
    </w:rPr>
  </w:style>
  <w:style w:type="paragraph" w:styleId="Heading2">
    <w:name w:val="Heading 2"/>
    <w:basedOn w:val="Normal"/>
    <w:next w:val="Normal"/>
    <w:uiPriority w:val="9"/>
    <w:semiHidden/>
    <w:unhideWhenUsed/>
    <w:qFormat/>
    <w:pPr>
      <w:keepNext w:val="true"/>
      <w:tabs>
        <w:tab w:val="clear" w:pos="708"/>
        <w:tab w:val="left" w:pos="0" w:leader="none"/>
      </w:tabs>
      <w:ind w:hanging="576" w:left="576"/>
      <w:outlineLvl w:val="1"/>
    </w:pPr>
    <w:rPr>
      <w:b/>
      <w:bCs/>
      <w:sz w:val="24"/>
      <w:u w:val="single"/>
    </w:rPr>
  </w:style>
  <w:style w:type="paragraph" w:styleId="Heading3">
    <w:name w:val="Heading 3"/>
    <w:basedOn w:val="Normal"/>
    <w:next w:val="Normal"/>
    <w:uiPriority w:val="9"/>
    <w:semiHidden/>
    <w:unhideWhenUsed/>
    <w:qFormat/>
    <w:pPr>
      <w:keepNext w:val="true"/>
      <w:suppressAutoHyphens w:val="false"/>
      <w:jc w:val="both"/>
      <w:outlineLvl w:val="2"/>
    </w:pPr>
    <w:rPr>
      <w:b/>
      <w:color w:val="00000A"/>
    </w:rPr>
  </w:style>
  <w:style w:type="paragraph" w:styleId="Heading4">
    <w:name w:val="Heading 4"/>
    <w:basedOn w:val="Normal"/>
    <w:next w:val="Normal"/>
    <w:uiPriority w:val="9"/>
    <w:semiHidden/>
    <w:unhideWhenUsed/>
    <w:qFormat/>
    <w:pPr>
      <w:keepNext w:val="true"/>
      <w:tabs>
        <w:tab w:val="clear" w:pos="708"/>
        <w:tab w:val="left" w:pos="0" w:leader="none"/>
      </w:tabs>
      <w:ind w:hanging="864" w:left="864"/>
      <w:outlineLvl w:val="3"/>
    </w:pPr>
    <w:rPr>
      <w:sz w:val="24"/>
    </w:rPr>
  </w:style>
  <w:style w:type="paragraph" w:styleId="Heading8">
    <w:name w:val="Heading 8"/>
    <w:basedOn w:val="Normal"/>
    <w:next w:val="Normal"/>
    <w:uiPriority w:val="0"/>
    <w:qFormat/>
    <w:pPr>
      <w:tabs>
        <w:tab w:val="clear" w:pos="708"/>
        <w:tab w:val="left" w:pos="0" w:leader="none"/>
      </w:tabs>
      <w:spacing w:before="240" w:after="60"/>
      <w:ind w:hanging="1440" w:left="1440"/>
      <w:outlineLvl w:val="7"/>
    </w:pPr>
    <w:rPr>
      <w:i/>
      <w:iCs/>
      <w:sz w:val="24"/>
      <w:szCs w:val="24"/>
    </w:rPr>
  </w:style>
  <w:style w:type="character" w:styleId="DefaultParagraphFont" w:default="1">
    <w:name w:val="Default Paragraph Font"/>
    <w:uiPriority w:val="1"/>
    <w:semiHidden/>
    <w:unhideWhenUsed/>
    <w:qFormat/>
    <w:rPr/>
  </w:style>
  <w:style w:type="character" w:styleId="LineNumber">
    <w:name w:val="Line Number"/>
    <w:uiPriority w:val="0"/>
    <w:qFormat/>
    <w:rPr/>
  </w:style>
  <w:style w:type="character" w:styleId="Caracteresdenotaderodap" w:customStyle="1">
    <w:name w:val="Caracteres de nota de rodapé"/>
    <w:uiPriority w:val="0"/>
    <w:qFormat/>
    <w:rPr>
      <w:vertAlign w:val="superscript"/>
    </w:rPr>
  </w:style>
  <w:style w:type="character" w:styleId="FootnoteReference">
    <w:name w:val="Footnote Reference"/>
    <w:rPr>
      <w:vertAlign w:val="superscript"/>
    </w:rPr>
  </w:style>
  <w:style w:type="character" w:styleId="Hyperlink">
    <w:name w:val="Hyperlink"/>
    <w:uiPriority w:val="0"/>
    <w:qFormat/>
    <w:rPr>
      <w:color w:val="0000FF"/>
      <w:u w:val="single"/>
    </w:rPr>
  </w:style>
  <w:style w:type="character" w:styleId="PageNumber">
    <w:name w:val="Page Number"/>
    <w:basedOn w:val="Fontepargpadro1"/>
    <w:uiPriority w:val="0"/>
    <w:qFormat/>
    <w:rPr/>
  </w:style>
  <w:style w:type="character" w:styleId="Fontepargpadro1" w:customStyle="1">
    <w:name w:val="Fonte parág. padrão1"/>
    <w:uiPriority w:val="0"/>
    <w:qFormat/>
    <w:rPr/>
  </w:style>
  <w:style w:type="character" w:styleId="WW8Num1z0" w:customStyle="1">
    <w:name w:val="WW8Num1z0"/>
    <w:uiPriority w:val="0"/>
    <w:qFormat/>
    <w:rPr>
      <w:rFonts w:ascii="Symbol" w:hAnsi="Symbol" w:eastAsia="Times New Roman" w:cs="Times New Roman"/>
    </w:rPr>
  </w:style>
  <w:style w:type="character" w:styleId="WW8Num1z1" w:customStyle="1">
    <w:name w:val="WW8Num1z1"/>
    <w:uiPriority w:val="0"/>
    <w:qFormat/>
    <w:rPr>
      <w:rFonts w:ascii="Courier New" w:hAnsi="Courier New" w:cs="Courier New"/>
    </w:rPr>
  </w:style>
  <w:style w:type="character" w:styleId="WW8Num1z2" w:customStyle="1">
    <w:name w:val="WW8Num1z2"/>
    <w:uiPriority w:val="0"/>
    <w:qFormat/>
    <w:rPr/>
  </w:style>
  <w:style w:type="character" w:styleId="WW8Num1z3" w:customStyle="1">
    <w:name w:val="WW8Num1z3"/>
    <w:uiPriority w:val="0"/>
    <w:qFormat/>
    <w:rPr>
      <w:rFonts w:ascii="Symbol" w:hAnsi="Symbol" w:cs="Symbol"/>
    </w:rPr>
  </w:style>
  <w:style w:type="character" w:styleId="WW8Num1z4" w:customStyle="1">
    <w:name w:val="WW8Num1z4"/>
    <w:uiPriority w:val="0"/>
    <w:qFormat/>
    <w:rPr/>
  </w:style>
  <w:style w:type="character" w:styleId="WW8Num1z5" w:customStyle="1">
    <w:name w:val="WW8Num1z5"/>
    <w:uiPriority w:val="0"/>
    <w:qFormat/>
    <w:rPr/>
  </w:style>
  <w:style w:type="character" w:styleId="WW8Num1z6" w:customStyle="1">
    <w:name w:val="WW8Num1z6"/>
    <w:uiPriority w:val="0"/>
    <w:qFormat/>
    <w:rPr/>
  </w:style>
  <w:style w:type="character" w:styleId="WW8Num1z7" w:customStyle="1">
    <w:name w:val="WW8Num1z7"/>
    <w:uiPriority w:val="0"/>
    <w:qFormat/>
    <w:rPr/>
  </w:style>
  <w:style w:type="character" w:styleId="WW8Num1z8" w:customStyle="1">
    <w:name w:val="WW8Num1z8"/>
    <w:uiPriority w:val="0"/>
    <w:qFormat/>
    <w:rPr/>
  </w:style>
  <w:style w:type="character" w:styleId="WW8Num2z0" w:customStyle="1">
    <w:name w:val="WW8Num2z0"/>
    <w:uiPriority w:val="0"/>
    <w:qFormat/>
    <w:rPr>
      <w:rFonts w:ascii="Times New Roman" w:hAnsi="Times New Roman" w:cs="Times New Roman"/>
      <w:b/>
      <w:sz w:val="24"/>
    </w:rPr>
  </w:style>
  <w:style w:type="character" w:styleId="WW8Num2z1" w:customStyle="1">
    <w:name w:val="WW8Num2z1"/>
    <w:uiPriority w:val="0"/>
    <w:qFormat/>
    <w:rPr>
      <w:rFonts w:ascii="Times New Roman" w:hAnsi="Times New Roman" w:cs="Times New Roman"/>
      <w:sz w:val="24"/>
    </w:rPr>
  </w:style>
  <w:style w:type="character" w:styleId="WW8Num3z0" w:customStyle="1">
    <w:name w:val="WW8Num3z0"/>
    <w:uiPriority w:val="0"/>
    <w:qFormat/>
    <w:rPr>
      <w:vanish/>
    </w:rPr>
  </w:style>
  <w:style w:type="character" w:styleId="Fontepargpadro3" w:customStyle="1">
    <w:name w:val="Fonte parág. padrão3"/>
    <w:uiPriority w:val="0"/>
    <w:qFormat/>
    <w:rPr/>
  </w:style>
  <w:style w:type="character" w:styleId="Fontepargpadro2" w:customStyle="1">
    <w:name w:val="Fonte parág. padrão2"/>
    <w:uiPriority w:val="0"/>
    <w:qFormat/>
    <w:rPr/>
  </w:style>
  <w:style w:type="character" w:styleId="WW8Num4z0" w:customStyle="1">
    <w:name w:val="WW8Num4z0"/>
    <w:uiPriority w:val="0"/>
    <w:qFormat/>
    <w:rPr>
      <w:b/>
    </w:rPr>
  </w:style>
  <w:style w:type="character" w:styleId="WW8Num4z1" w:customStyle="1">
    <w:name w:val="WW8Num4z1"/>
    <w:uiPriority w:val="0"/>
    <w:qFormat/>
    <w:rPr/>
  </w:style>
  <w:style w:type="character" w:styleId="WW8Num4z2" w:customStyle="1">
    <w:name w:val="WW8Num4z2"/>
    <w:uiPriority w:val="0"/>
    <w:qFormat/>
    <w:rPr/>
  </w:style>
  <w:style w:type="character" w:styleId="WW8Num4z3" w:customStyle="1">
    <w:name w:val="WW8Num4z3"/>
    <w:uiPriority w:val="0"/>
    <w:qFormat/>
    <w:rPr/>
  </w:style>
  <w:style w:type="character" w:styleId="WW8Num4z4" w:customStyle="1">
    <w:name w:val="WW8Num4z4"/>
    <w:uiPriority w:val="0"/>
    <w:qFormat/>
    <w:rPr/>
  </w:style>
  <w:style w:type="character" w:styleId="WW8Num4z5" w:customStyle="1">
    <w:name w:val="WW8Num4z5"/>
    <w:uiPriority w:val="0"/>
    <w:qFormat/>
    <w:rPr/>
  </w:style>
  <w:style w:type="character" w:styleId="WW8Num4z6" w:customStyle="1">
    <w:name w:val="WW8Num4z6"/>
    <w:uiPriority w:val="0"/>
    <w:qFormat/>
    <w:rPr/>
  </w:style>
  <w:style w:type="character" w:styleId="WW8Num4z7" w:customStyle="1">
    <w:name w:val="WW8Num4z7"/>
    <w:uiPriority w:val="0"/>
    <w:qFormat/>
    <w:rPr/>
  </w:style>
  <w:style w:type="character" w:styleId="WW8Num4z8" w:customStyle="1">
    <w:name w:val="WW8Num4z8"/>
    <w:uiPriority w:val="0"/>
    <w:qFormat/>
    <w:rPr/>
  </w:style>
  <w:style w:type="character" w:styleId="WW8Num5z0" w:customStyle="1">
    <w:name w:val="WW8Num5z0"/>
    <w:uiPriority w:val="0"/>
    <w:qFormat/>
    <w:rPr/>
  </w:style>
  <w:style w:type="character" w:styleId="WW8Num5z1" w:customStyle="1">
    <w:name w:val="WW8Num5z1"/>
    <w:uiPriority w:val="0"/>
    <w:qFormat/>
    <w:rPr>
      <w:color w:val="auto"/>
      <w:sz w:val="24"/>
      <w:szCs w:val="24"/>
    </w:rPr>
  </w:style>
  <w:style w:type="character" w:styleId="CabealhoChar" w:customStyle="1">
    <w:name w:val="Cabeçalho Char"/>
    <w:uiPriority w:val="0"/>
    <w:qFormat/>
    <w:rPr>
      <w:sz w:val="24"/>
    </w:rPr>
  </w:style>
  <w:style w:type="character" w:styleId="RodapChar" w:customStyle="1">
    <w:name w:val="Rodapé Char"/>
    <w:uiPriority w:val="0"/>
    <w:qFormat/>
    <w:rPr>
      <w:sz w:val="24"/>
    </w:rPr>
  </w:style>
  <w:style w:type="character" w:styleId="Corpodetexto3Char" w:customStyle="1">
    <w:name w:val="Corpo de texto 3 Char"/>
    <w:uiPriority w:val="0"/>
    <w:qFormat/>
    <w:rPr>
      <w:sz w:val="16"/>
      <w:szCs w:val="16"/>
    </w:rPr>
  </w:style>
  <w:style w:type="character" w:styleId="Corpodetexto2Char" w:customStyle="1">
    <w:name w:val="Corpo de texto 2 Char"/>
    <w:basedOn w:val="Fontepargpadro1"/>
    <w:uiPriority w:val="0"/>
    <w:qFormat/>
    <w:rPr/>
  </w:style>
  <w:style w:type="character" w:styleId="TextodebaloChar" w:customStyle="1">
    <w:name w:val="Texto de balão Char"/>
    <w:uiPriority w:val="0"/>
    <w:qFormat/>
    <w:rPr>
      <w:rFonts w:ascii="Tahoma" w:hAnsi="Tahoma" w:cs="Tahoma"/>
      <w:sz w:val="16"/>
      <w:szCs w:val="16"/>
    </w:rPr>
  </w:style>
  <w:style w:type="character" w:styleId="Smbolosdenumerao" w:customStyle="1">
    <w:name w:val="Símbolos de numeração"/>
    <w:uiPriority w:val="0"/>
    <w:qFormat/>
    <w:rPr/>
  </w:style>
  <w:style w:type="character" w:styleId="Ttulo3Char" w:customStyle="1">
    <w:name w:val="Título 3 Char"/>
    <w:uiPriority w:val="0"/>
    <w:qFormat/>
    <w:rPr>
      <w:b/>
      <w:color w:val="00000A"/>
    </w:rPr>
  </w:style>
  <w:style w:type="character" w:styleId="Recuodecorpodetexto3Char" w:customStyle="1">
    <w:name w:val="Recuo de corpo de texto 3 Char"/>
    <w:uiPriority w:val="0"/>
    <w:qFormat/>
    <w:rPr>
      <w:sz w:val="16"/>
      <w:szCs w:val="16"/>
    </w:rPr>
  </w:style>
  <w:style w:type="character" w:styleId="Ttulo8Char" w:customStyle="1">
    <w:name w:val="Título 8 Char"/>
    <w:uiPriority w:val="0"/>
    <w:qFormat/>
    <w:rPr>
      <w:i/>
      <w:iCs/>
      <w:sz w:val="24"/>
      <w:szCs w:val="24"/>
      <w:lang w:eastAsia="zh-CN"/>
    </w:rPr>
  </w:style>
  <w:style w:type="character" w:styleId="TtuloChar" w:customStyle="1">
    <w:name w:val="Título Char"/>
    <w:uiPriority w:val="0"/>
    <w:qFormat/>
    <w:rPr>
      <w:rFonts w:ascii="Liberation Sans" w:hAnsi="Liberation Sans" w:eastAsia="Microsoft YaHei" w:cs="Lucida Sans"/>
      <w:color w:val="00000A"/>
      <w:sz w:val="28"/>
      <w:szCs w:val="28"/>
    </w:rPr>
  </w:style>
  <w:style w:type="character" w:styleId="Recuodecorpodetexto3Char1" w:customStyle="1">
    <w:name w:val="Recuo de corpo de texto 3 Char1"/>
    <w:uiPriority w:val="0"/>
    <w:qFormat/>
    <w:rPr>
      <w:sz w:val="16"/>
      <w:szCs w:val="16"/>
      <w:lang w:eastAsia="zh-CN"/>
    </w:rPr>
  </w:style>
  <w:style w:type="character" w:styleId="Ttulo1Char" w:customStyle="1">
    <w:name w:val="Título 1 Char"/>
    <w:uiPriority w:val="0"/>
    <w:qFormat/>
    <w:rPr>
      <w:b/>
      <w:bCs/>
      <w:sz w:val="24"/>
      <w:lang w:eastAsia="zh-CN"/>
    </w:rPr>
  </w:style>
  <w:style w:type="character" w:styleId="Ttulo2Char" w:customStyle="1">
    <w:name w:val="Título 2 Char"/>
    <w:uiPriority w:val="0"/>
    <w:qFormat/>
    <w:rPr>
      <w:b/>
      <w:bCs/>
      <w:sz w:val="24"/>
      <w:u w:val="single"/>
      <w:lang w:eastAsia="zh-CN"/>
    </w:rPr>
  </w:style>
  <w:style w:type="character" w:styleId="Ttulo4Char" w:customStyle="1">
    <w:name w:val="Título 4 Char"/>
    <w:uiPriority w:val="0"/>
    <w:qFormat/>
    <w:rPr>
      <w:sz w:val="24"/>
      <w:lang w:eastAsia="zh-CN"/>
    </w:rPr>
  </w:style>
  <w:style w:type="character" w:styleId="CorpodetextoChar" w:customStyle="1">
    <w:name w:val="Corpo de texto Char"/>
    <w:uiPriority w:val="0"/>
    <w:qFormat/>
    <w:rPr>
      <w:lang w:eastAsia="zh-CN"/>
    </w:rPr>
  </w:style>
  <w:style w:type="character" w:styleId="CabealhoChar1" w:customStyle="1">
    <w:name w:val="Cabeçalho Char1"/>
    <w:uiPriority w:val="0"/>
    <w:qFormat/>
    <w:rPr>
      <w:sz w:val="24"/>
      <w:lang w:eastAsia="zh-CN"/>
    </w:rPr>
  </w:style>
  <w:style w:type="character" w:styleId="RodapChar1" w:customStyle="1">
    <w:name w:val="Rodapé Char1"/>
    <w:uiPriority w:val="0"/>
    <w:qFormat/>
    <w:rPr>
      <w:sz w:val="24"/>
      <w:lang w:eastAsia="zh-CN"/>
    </w:rPr>
  </w:style>
  <w:style w:type="character" w:styleId="TextodebaloChar1" w:customStyle="1">
    <w:name w:val="Texto de balão Char1"/>
    <w:uiPriority w:val="0"/>
    <w:qFormat/>
    <w:rPr>
      <w:rFonts w:ascii="Tahoma" w:hAnsi="Tahoma" w:cs="Tahoma"/>
      <w:sz w:val="16"/>
      <w:szCs w:val="16"/>
      <w:lang w:eastAsia="zh-CN"/>
    </w:rPr>
  </w:style>
  <w:style w:type="character" w:styleId="TextodenotaderodapChar" w:customStyle="1">
    <w:name w:val="Texto de nota de rodapé Char"/>
    <w:uiPriority w:val="0"/>
    <w:qFormat/>
    <w:rPr>
      <w:lang w:eastAsia="zh-CN"/>
    </w:rPr>
  </w:style>
  <w:style w:type="character" w:styleId="TtuloChar1" w:customStyle="1">
    <w:name w:val="Título Char1"/>
    <w:uiPriority w:val="0"/>
    <w:qFormat/>
    <w:rPr>
      <w:rFonts w:ascii="Liberation Sans" w:hAnsi="Liberation Sans" w:eastAsia="Microsoft YaHei" w:cs="Lucida Sans"/>
      <w:color w:val="00000A"/>
      <w:sz w:val="28"/>
      <w:szCs w:val="28"/>
      <w:lang w:eastAsia="zh-CN"/>
    </w:rPr>
  </w:style>
  <w:style w:type="character" w:styleId="FootnoteCharacters" w:customStyle="1">
    <w:name w:val="Footnote Characters"/>
    <w:basedOn w:val="DefaultParagraphFont"/>
    <w:uiPriority w:val="0"/>
    <w:qFormat/>
    <w:rPr>
      <w:vertAlign w:val="superscript"/>
    </w:rPr>
  </w:style>
  <w:style w:type="character" w:styleId="WW8Num3z1" w:customStyle="1">
    <w:name w:val="WW8Num3z1"/>
    <w:uiPriority w:val="0"/>
    <w:qFormat/>
    <w:rPr>
      <w:rFonts w:ascii="OpenSymbol;Arial Unicode MS" w:hAnsi="OpenSymbol;Arial Unicode MS" w:cs="Courier New"/>
    </w:rPr>
  </w:style>
  <w:style w:type="character" w:styleId="WW8Num6z0" w:customStyle="1">
    <w:name w:val="WW8Num6z0"/>
    <w:uiPriority w:val="0"/>
    <w:qFormat/>
    <w:rPr/>
  </w:style>
  <w:style w:type="character" w:styleId="WW8Num7z0" w:customStyle="1">
    <w:name w:val="WW8Num7z0"/>
    <w:uiPriority w:val="0"/>
    <w:qFormat/>
    <w:rPr>
      <w:b/>
      <w:bCs/>
    </w:rPr>
  </w:style>
  <w:style w:type="character" w:styleId="WW8Num7z1" w:customStyle="1">
    <w:name w:val="WW8Num7z1"/>
    <w:uiPriority w:val="0"/>
    <w:qFormat/>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uiPriority w:val="0"/>
    <w:qFormat/>
    <w:pPr>
      <w:spacing w:before="0" w:after="120"/>
    </w:pPr>
    <w:rPr/>
  </w:style>
  <w:style w:type="paragraph" w:styleId="List">
    <w:name w:val="List"/>
    <w:basedOn w:val="BodyText"/>
    <w:uiPriority w:val="0"/>
    <w:qFormat/>
    <w:pPr/>
    <w:rPr>
      <w:rFonts w:cs="Lucida Sans"/>
    </w:rPr>
  </w:style>
  <w:style w:type="paragraph" w:styleId="Caption">
    <w:name w:val="Caption"/>
    <w:basedOn w:val="Normal"/>
    <w:uiPriority w:val="0"/>
    <w:qFormat/>
    <w:pPr>
      <w:suppressLineNumbers/>
      <w:spacing w:before="120" w:after="120"/>
    </w:pPr>
    <w:rPr>
      <w:rFonts w:cs="Lucida Sans"/>
      <w:i/>
      <w:iCs/>
      <w:sz w:val="24"/>
      <w:szCs w:val="24"/>
    </w:rPr>
  </w:style>
  <w:style w:type="paragraph" w:styleId="ndice" w:customStyle="1">
    <w:name w:val="Índice"/>
    <w:basedOn w:val="Normal"/>
    <w:uiPriority w:val="0"/>
    <w:qFormat/>
    <w:pPr>
      <w:suppressLineNumbers/>
    </w:pPr>
    <w:rPr>
      <w:rFonts w:cs="Lucida Sans"/>
    </w:rPr>
  </w:style>
  <w:style w:type="paragraph" w:styleId="Title">
    <w:name w:val="Title"/>
    <w:basedOn w:val="Normal"/>
    <w:next w:val="BodyText"/>
    <w:uiPriority w:val="10"/>
    <w:qFormat/>
    <w:pPr>
      <w:keepNext w:val="true"/>
      <w:suppressAutoHyphens w:val="false"/>
      <w:spacing w:before="240" w:after="120"/>
    </w:pPr>
    <w:rPr>
      <w:rFonts w:ascii="Liberation Sans" w:hAnsi="Liberation Sans" w:eastAsia="Microsoft YaHei" w:cs="Lucida Sans"/>
      <w:color w:val="00000A"/>
      <w:sz w:val="28"/>
      <w:szCs w:val="28"/>
    </w:rPr>
  </w:style>
  <w:style w:type="paragraph" w:styleId="Cabealhoerodap">
    <w:name w:val="Cabeçalho e rodapé"/>
    <w:basedOn w:val="Normal"/>
    <w:qFormat/>
    <w:pPr/>
    <w:rPr/>
  </w:style>
  <w:style w:type="paragraph" w:styleId="Header">
    <w:name w:val="Header"/>
    <w:basedOn w:val="Normal"/>
    <w:uiPriority w:val="0"/>
    <w:qFormat/>
    <w:pPr>
      <w:tabs>
        <w:tab w:val="clear" w:pos="708"/>
        <w:tab w:val="center" w:pos="4419" w:leader="none"/>
        <w:tab w:val="right" w:pos="8838" w:leader="none"/>
      </w:tabs>
      <w:overflowPunct w:val="false"/>
      <w:textAlignment w:val="baseline"/>
    </w:pPr>
    <w:rPr>
      <w:sz w:val="24"/>
    </w:rPr>
  </w:style>
  <w:style w:type="paragraph" w:styleId="Footer">
    <w:name w:val="Footer"/>
    <w:basedOn w:val="Normal"/>
    <w:uiPriority w:val="0"/>
    <w:qFormat/>
    <w:pPr>
      <w:tabs>
        <w:tab w:val="clear" w:pos="708"/>
        <w:tab w:val="center" w:pos="4419" w:leader="none"/>
        <w:tab w:val="right" w:pos="8838" w:leader="none"/>
      </w:tabs>
      <w:overflowPunct w:val="false"/>
      <w:textAlignment w:val="baseline"/>
    </w:pPr>
    <w:rPr>
      <w:sz w:val="24"/>
    </w:rPr>
  </w:style>
  <w:style w:type="paragraph" w:styleId="BalloonText">
    <w:name w:val="Balloon Text"/>
    <w:basedOn w:val="Normal"/>
    <w:uiPriority w:val="0"/>
    <w:qFormat/>
    <w:pPr/>
    <w:rPr>
      <w:rFonts w:ascii="Tahoma" w:hAnsi="Tahoma" w:cs="Tahoma"/>
      <w:sz w:val="16"/>
      <w:szCs w:val="16"/>
    </w:rPr>
  </w:style>
  <w:style w:type="paragraph" w:styleId="FootnoteText">
    <w:name w:val="Footnote Text"/>
    <w:basedOn w:val="Normal"/>
    <w:uiPriority w:val="0"/>
    <w:qFormat/>
    <w:pPr/>
    <w:rPr/>
  </w:style>
  <w:style w:type="paragraph" w:styleId="Ttulo3" w:customStyle="1">
    <w:name w:val="Título3"/>
    <w:basedOn w:val="Normal"/>
    <w:next w:val="BodyText"/>
    <w:uiPriority w:val="0"/>
    <w:qFormat/>
    <w:pPr>
      <w:keepNext w:val="true"/>
      <w:suppressAutoHyphens w:val="false"/>
      <w:spacing w:before="240" w:after="120"/>
    </w:pPr>
    <w:rPr>
      <w:rFonts w:ascii="Liberation Sans" w:hAnsi="Liberation Sans" w:eastAsia="Microsoft YaHei" w:cs="Lucida Sans"/>
      <w:color w:val="00000A"/>
      <w:sz w:val="28"/>
      <w:szCs w:val="28"/>
    </w:rPr>
  </w:style>
  <w:style w:type="paragraph" w:styleId="Ttulo2" w:customStyle="1">
    <w:name w:val="Título2"/>
    <w:basedOn w:val="Normal"/>
    <w:next w:val="BodyText"/>
    <w:uiPriority w:val="0"/>
    <w:qFormat/>
    <w:pPr>
      <w:keepNext w:val="true"/>
      <w:spacing w:before="240" w:after="120"/>
    </w:pPr>
    <w:rPr>
      <w:rFonts w:ascii="Liberation Sans" w:hAnsi="Liberation Sans" w:eastAsia="Microsoft YaHei" w:cs="Lucida Sans"/>
      <w:sz w:val="28"/>
      <w:szCs w:val="28"/>
    </w:rPr>
  </w:style>
  <w:style w:type="paragraph" w:styleId="Ttulo1" w:customStyle="1">
    <w:name w:val="Título1"/>
    <w:basedOn w:val="Normal"/>
    <w:next w:val="BodyText"/>
    <w:uiPriority w:val="0"/>
    <w:qFormat/>
    <w:pPr>
      <w:keepNext w:val="true"/>
      <w:spacing w:before="240" w:after="120"/>
    </w:pPr>
    <w:rPr>
      <w:rFonts w:ascii="Arial" w:hAnsi="Arial" w:eastAsia="Arial Unicode MS" w:cs="Lucida Sans"/>
      <w:sz w:val="28"/>
      <w:szCs w:val="28"/>
    </w:rPr>
  </w:style>
  <w:style w:type="paragraph" w:styleId="Legenda1" w:customStyle="1">
    <w:name w:val="Legenda1"/>
    <w:basedOn w:val="Normal"/>
    <w:uiPriority w:val="0"/>
    <w:qFormat/>
    <w:pPr>
      <w:suppressLineNumbers/>
      <w:spacing w:before="120" w:after="120"/>
    </w:pPr>
    <w:rPr>
      <w:rFonts w:cs="Lucida Sans"/>
      <w:i/>
      <w:iCs/>
      <w:sz w:val="24"/>
      <w:szCs w:val="24"/>
    </w:rPr>
  </w:style>
  <w:style w:type="paragraph" w:styleId="CabealhoeRodap1" w:customStyle="1">
    <w:name w:val="Cabeçalho e Rodapé1"/>
    <w:basedOn w:val="Normal"/>
    <w:uiPriority w:val="0"/>
    <w:qFormat/>
    <w:pPr/>
    <w:rPr/>
  </w:style>
  <w:style w:type="paragraph" w:styleId="ListParagraph">
    <w:name w:val="List Paragraph"/>
    <w:basedOn w:val="Normal"/>
    <w:uiPriority w:val="0"/>
    <w:qFormat/>
    <w:pPr>
      <w:spacing w:lineRule="auto" w:line="276" w:before="0" w:after="200"/>
      <w:ind w:left="720"/>
    </w:pPr>
    <w:rPr>
      <w:rFonts w:ascii="Calibri" w:hAnsi="Calibri" w:eastAsia="Calibri" w:cs="Calibri"/>
      <w:sz w:val="22"/>
      <w:szCs w:val="22"/>
    </w:rPr>
  </w:style>
  <w:style w:type="paragraph" w:styleId="Default" w:customStyle="1">
    <w:name w:val="Default"/>
    <w:uiPriority w:val="0"/>
    <w:qFormat/>
    <w:pPr>
      <w:widowControl/>
      <w:suppressAutoHyphens w:val="true"/>
      <w:overflowPunct w:val="true"/>
      <w:bidi w:val="0"/>
      <w:spacing w:before="0" w:after="0"/>
      <w:jc w:val="left"/>
    </w:pPr>
    <w:rPr>
      <w:rFonts w:ascii="Times New Roman" w:hAnsi="Times New Roman" w:eastAsia="Times New Roman" w:cs="Times New Roman"/>
      <w:color w:val="000000"/>
      <w:kern w:val="0"/>
      <w:sz w:val="24"/>
      <w:szCs w:val="24"/>
      <w:lang w:val="pt-BR" w:eastAsia="zh-CN" w:bidi="ar-SA"/>
    </w:rPr>
  </w:style>
  <w:style w:type="paragraph" w:styleId="Corpodetexto31" w:customStyle="1">
    <w:name w:val="Corpo de texto 31"/>
    <w:basedOn w:val="Normal"/>
    <w:uiPriority w:val="0"/>
    <w:qFormat/>
    <w:pPr>
      <w:spacing w:before="0" w:after="120"/>
    </w:pPr>
    <w:rPr>
      <w:sz w:val="16"/>
      <w:szCs w:val="16"/>
    </w:rPr>
  </w:style>
  <w:style w:type="paragraph" w:styleId="Corpodetexto21" w:customStyle="1">
    <w:name w:val="Corpo de texto 21"/>
    <w:basedOn w:val="Normal"/>
    <w:uiPriority w:val="0"/>
    <w:qFormat/>
    <w:pPr>
      <w:spacing w:lineRule="auto" w:line="480" w:before="0" w:after="120"/>
    </w:pPr>
    <w:rPr/>
  </w:style>
  <w:style w:type="paragraph" w:styleId="xl61" w:customStyle="1">
    <w:name w:val="xl61"/>
    <w:basedOn w:val="Default"/>
    <w:next w:val="Default"/>
    <w:uiPriority w:val="0"/>
    <w:qFormat/>
    <w:pPr>
      <w:spacing w:before="280" w:after="280"/>
    </w:pPr>
    <w:rPr>
      <w:rFonts w:ascii="IPMDOI+TimesNewRoman" w:hAnsi="IPMDOI+TimesNewRoman" w:cs="IPMDOI+TimesNewRoman"/>
      <w:color w:val="auto"/>
    </w:rPr>
  </w:style>
  <w:style w:type="paragraph" w:styleId="WW-Padro" w:customStyle="1">
    <w:name w:val="WW-Padrão"/>
    <w:basedOn w:val="Default"/>
    <w:next w:val="Default"/>
    <w:uiPriority w:val="0"/>
    <w:qFormat/>
    <w:pPr/>
    <w:rPr>
      <w:rFonts w:ascii="IPMDOI+TimesNewRoman" w:hAnsi="IPMDOI+TimesNewRoman" w:cs="IPMDOI+TimesNewRoman"/>
      <w:color w:val="auto"/>
    </w:rPr>
  </w:style>
  <w:style w:type="paragraph" w:styleId="Contedodetabela" w:customStyle="1">
    <w:name w:val="Conteúdo de tabela"/>
    <w:basedOn w:val="Normal"/>
    <w:uiPriority w:val="0"/>
    <w:qFormat/>
    <w:pPr>
      <w:suppressLineNumbers/>
    </w:pPr>
    <w:rPr/>
  </w:style>
  <w:style w:type="paragraph" w:styleId="Contedodatabela" w:customStyle="1">
    <w:name w:val="Conteúdo da tabela"/>
    <w:basedOn w:val="Normal"/>
    <w:uiPriority w:val="0"/>
    <w:qFormat/>
    <w:pPr>
      <w:suppressLineNumbers/>
    </w:pPr>
    <w:rPr/>
  </w:style>
  <w:style w:type="paragraph" w:styleId="Ttulodetabela" w:customStyle="1">
    <w:name w:val="Título de tabela"/>
    <w:basedOn w:val="Contedodetabela"/>
    <w:uiPriority w:val="0"/>
    <w:qFormat/>
    <w:pPr>
      <w:jc w:val="center"/>
    </w:pPr>
    <w:rPr>
      <w:b/>
      <w:bCs/>
    </w:rPr>
  </w:style>
  <w:style w:type="paragraph" w:styleId="Recuodecorpodetexto31" w:customStyle="1">
    <w:name w:val="Recuo de corpo de texto 31"/>
    <w:basedOn w:val="Normal"/>
    <w:uiPriority w:val="0"/>
    <w:qFormat/>
    <w:pPr>
      <w:suppressAutoHyphens w:val="false"/>
      <w:spacing w:before="0" w:after="120"/>
      <w:ind w:left="283"/>
    </w:pPr>
    <w:rPr>
      <w:sz w:val="16"/>
      <w:szCs w:val="16"/>
    </w:rPr>
  </w:style>
  <w:style w:type="paragraph" w:styleId="WW-Textosimples" w:customStyle="1">
    <w:name w:val="WW-Texto simples"/>
    <w:basedOn w:val="Normal"/>
    <w:uiPriority w:val="0"/>
    <w:qFormat/>
    <w:pPr/>
    <w:rPr>
      <w:rFonts w:ascii="Courier New" w:hAnsi="Courier New" w:cs="Courier New"/>
      <w:color w:val="00000A"/>
    </w:rPr>
  </w:style>
  <w:style w:type="paragraph" w:styleId="Normal0" w:customStyle="1">
    <w:name w:val="Normal_0"/>
    <w:uiPriority w:val="0"/>
    <w:qFormat/>
    <w:pPr>
      <w:widowControl/>
      <w:tabs>
        <w:tab w:val="clear" w:pos="708"/>
        <w:tab w:val="left" w:pos="1418" w:leader="none"/>
        <w:tab w:val="left" w:pos="1985" w:leader="none"/>
        <w:tab w:val="left" w:pos="2552" w:leader="none"/>
        <w:tab w:val="left" w:pos="3402" w:leader="none"/>
        <w:tab w:val="left" w:pos="4253" w:leader="none"/>
        <w:tab w:val="left" w:pos="4820" w:leader="none"/>
      </w:tabs>
      <w:suppressAutoHyphens w:val="true"/>
      <w:overflowPunct w:val="true"/>
      <w:bidi w:val="0"/>
      <w:spacing w:before="0" w:after="0"/>
      <w:jc w:val="both"/>
    </w:pPr>
    <w:rPr>
      <w:rFonts w:ascii="Times New Roman" w:hAnsi="Times New Roman" w:eastAsia="Times New Roman" w:cs="Times New Roman"/>
      <w:color w:val="auto"/>
      <w:kern w:val="0"/>
      <w:sz w:val="24"/>
      <w:szCs w:val="22"/>
      <w:lang w:val="pt-BR" w:eastAsia="en-US" w:bidi="ar-SA"/>
    </w:rPr>
  </w:style>
  <w:style w:type="paragraph" w:styleId="Indentado0" w:customStyle="1">
    <w:name w:val="Indentado_0"/>
    <w:basedOn w:val="Normal0"/>
    <w:uiPriority w:val="0"/>
    <w:qFormat/>
    <w:pPr>
      <w:tabs>
        <w:tab w:val="left" w:pos="1418" w:leader="none"/>
        <w:tab w:val="left" w:pos="1985" w:leader="none"/>
        <w:tab w:val="left" w:pos="2552" w:leader="none"/>
        <w:tab w:val="left" w:pos="3402" w:leader="none"/>
        <w:tab w:val="left" w:pos="4253" w:leader="none"/>
        <w:tab w:val="left" w:pos="4820" w:leader="none"/>
        <w:tab w:val="right" w:pos="9923" w:leader="none"/>
      </w:tabs>
      <w:ind w:firstLine="851" w:left="567"/>
    </w:pPr>
    <w:rPr/>
  </w:style>
  <w:style w:type="paragraph" w:styleId="Pa4" w:customStyle="1">
    <w:name w:val="Pa4"/>
    <w:basedOn w:val="Default"/>
    <w:next w:val="Default"/>
    <w:uiPriority w:val="0"/>
    <w:qFormat/>
    <w:pPr>
      <w:suppressAutoHyphens w:val="false"/>
      <w:spacing w:lineRule="atLeast" w:line="181"/>
    </w:pPr>
    <w:rPr>
      <w:rFonts w:ascii="Univers 45 Light" w:hAnsi="Univers 45 Light" w:eastAsia="SimSun"/>
      <w:color w:val="auto"/>
      <w:lang w:eastAsia="pt-BR"/>
    </w:rPr>
  </w:style>
  <w:style w:type="paragraph" w:styleId="Pa28" w:customStyle="1">
    <w:name w:val="Pa28"/>
    <w:basedOn w:val="Default"/>
    <w:next w:val="Default"/>
    <w:uiPriority w:val="0"/>
    <w:qFormat/>
    <w:pPr>
      <w:suppressAutoHyphens w:val="false"/>
      <w:spacing w:lineRule="atLeast" w:line="181"/>
    </w:pPr>
    <w:rPr>
      <w:rFonts w:ascii="Univers 45 Light" w:hAnsi="Univers 45 Light" w:eastAsia="SimSun"/>
      <w:color w:val="auto"/>
      <w:lang w:eastAsia="pt-BR"/>
    </w:rPr>
  </w:style>
  <w:style w:type="paragraph" w:styleId="Padro" w:customStyle="1">
    <w:name w:val="Padrão"/>
    <w:uiPriority w:val="0"/>
    <w:qFormat/>
    <w:pPr>
      <w:widowControl/>
      <w:tabs>
        <w:tab w:val="left" w:pos="708" w:leader="none"/>
      </w:tabs>
      <w:suppressAutoHyphens w:val="true"/>
      <w:overflowPunct w:val="true"/>
      <w:bidi w:val="0"/>
      <w:spacing w:lineRule="auto" w:line="276" w:before="0" w:after="200"/>
      <w:jc w:val="left"/>
    </w:pPr>
    <w:rPr>
      <w:rFonts w:ascii="Times New Roman" w:hAnsi="Times New Roman" w:eastAsia="SimSun;宋体" w:cs="Mangal"/>
      <w:color w:val="auto"/>
      <w:kern w:val="2"/>
      <w:sz w:val="24"/>
      <w:szCs w:val="24"/>
      <w:lang w:val="pt-BR" w:eastAsia="zh-CN" w:bidi="hi-IN"/>
    </w:rPr>
  </w:style>
  <w:style w:type="paragraph" w:styleId="LO-Normal" w:customStyle="1">
    <w:name w:val="LO-Normal"/>
    <w:uiPriority w:val="0"/>
    <w:qFormat/>
    <w:pPr>
      <w:widowControl w:val="false"/>
      <w:suppressAutoHyphens w:val="true"/>
      <w:overflowPunct w:val="true"/>
      <w:bidi w:val="0"/>
      <w:spacing w:before="0" w:after="0"/>
      <w:jc w:val="left"/>
    </w:pPr>
    <w:rPr>
      <w:rFonts w:ascii="Liberation Serif;Times New Roma" w:hAnsi="Liberation Serif;Times New Roma" w:eastAsia="SimSun" w:cs="Mangal"/>
      <w:color w:val="auto"/>
      <w:kern w:val="2"/>
      <w:sz w:val="24"/>
      <w:szCs w:val="24"/>
      <w:lang w:val="pt-BR" w:eastAsia="zh-CN" w:bidi="hi-IN"/>
    </w:rPr>
  </w:style>
  <w:style w:type="paragraph" w:styleId="LO-normal1" w:customStyle="1">
    <w:name w:val="LO-normal1"/>
    <w:uiPriority w:val="0"/>
    <w:qFormat/>
    <w:pPr>
      <w:widowControl/>
      <w:suppressAutoHyphens w:val="true"/>
      <w:bidi w:val="0"/>
      <w:spacing w:before="0" w:after="0"/>
      <w:jc w:val="left"/>
    </w:pPr>
    <w:rPr>
      <w:rFonts w:ascii="Calibri" w:hAnsi="Calibri" w:eastAsia="Calibri" w:cs="Calibri"/>
      <w:color w:val="auto"/>
      <w:kern w:val="0"/>
      <w:sz w:val="24"/>
      <w:szCs w:val="24"/>
      <w:lang w:val="pt-BR" w:eastAsia="zh-CN" w:bidi="hi-IN"/>
    </w:rPr>
  </w:style>
  <w:style w:type="paragraph" w:styleId="TableParagraph" w:customStyle="1">
    <w:name w:val="Table Paragraph"/>
    <w:basedOn w:val="Normal"/>
    <w:uiPriority w:val="0"/>
    <w:qFormat/>
    <w:pPr>
      <w:suppressAutoHyphens w:val="false"/>
      <w:spacing w:lineRule="auto" w:line="252" w:before="0" w:after="160"/>
    </w:pPr>
    <w:rPr>
      <w:rFonts w:ascii="Calibri" w:hAnsi="Calibri" w:eastAsia="Calibri" w:cs="Calibri"/>
      <w:sz w:val="24"/>
      <w:szCs w:val="24"/>
    </w:rPr>
  </w:style>
  <w:style w:type="paragraph" w:styleId="Standard" w:customStyle="1">
    <w:name w:val="Standard"/>
    <w:uiPriority w:val="0"/>
    <w:qFormat/>
    <w:pPr>
      <w:widowControl/>
      <w:suppressAutoHyphens w:val="true"/>
      <w:bidi w:val="0"/>
      <w:spacing w:before="0" w:after="0"/>
      <w:jc w:val="left"/>
      <w:textAlignment w:val="baseline"/>
    </w:pPr>
    <w:rPr>
      <w:rFonts w:ascii="Times New Roman" w:hAnsi="Times New Roman" w:eastAsia="Times New Roman" w:cs="Times New Roman"/>
      <w:color w:val="auto"/>
      <w:kern w:val="2"/>
      <w:sz w:val="20"/>
      <w:szCs w:val="20"/>
      <w:lang w:val="pt-BR" w:eastAsia="zh-CN" w:bidi="ar-SA"/>
    </w:rPr>
  </w:style>
  <w:style w:type="table" w:default="1" w:styleId="8">
    <w:name w:val="Normal Table"/>
    <w:uiPriority w:val="99"/>
    <w:semiHidden/>
    <w:unhideWhenUsed/>
    <w:qFormat/>
    <w:tblPr>
      <w:tblCellMar>
        <w:top w:w="0" w:type="dxa"/>
        <w:left w:w="108" w:type="dxa"/>
        <w:bottom w:w="0" w:type="dxa"/>
        <w:right w:w="108" w:type="dxa"/>
      </w:tblCellMar>
    </w:tblPr>
  </w:style>
  <w:style w:type="table" w:styleId="22">
    <w:name w:val="Table Grid"/>
    <w:basedOn w:val="8"/>
    <w:uiPriority w:val="39"/>
    <w:qFormat/>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eader" Target="header1.xml"/><Relationship Id="rId5" Type="http://schemas.openxmlformats.org/officeDocument/2006/relationships/header" Target="header2.xml"/><Relationship Id="rId6" Type="http://schemas.openxmlformats.org/officeDocument/2006/relationships/header" Target="header3.xml"/><Relationship Id="rId7" Type="http://schemas.openxmlformats.org/officeDocument/2006/relationships/footer" Target="footer1.xml"/><Relationship Id="rId8" Type="http://schemas.openxmlformats.org/officeDocument/2006/relationships/footer" Target="footer2.xml"/><Relationship Id="rId9" Type="http://schemas.openxmlformats.org/officeDocument/2006/relationships/footer" Target="footer3.xml"/><Relationship Id="rId10" Type="http://schemas.openxmlformats.org/officeDocument/2006/relationships/numbering" Target="numbering.xml"/><Relationship Id="rId11" Type="http://schemas.openxmlformats.org/officeDocument/2006/relationships/fontTable" Target="fontTable.xml"/><Relationship Id="rId12" Type="http://schemas.openxmlformats.org/officeDocument/2006/relationships/settings" Target="settings.xml"/><Relationship Id="rId13" Type="http://schemas.openxmlformats.org/officeDocument/2006/relationships/theme" Target="theme/theme1.xml"/>
</Relationships>
</file>

<file path=word/_rels/header2.xml.rels><?xml version="1.0" encoding="UTF-8"?>
<Relationships xmlns="http://schemas.openxmlformats.org/package/2006/relationships"><Relationship Id="rId1" Type="http://schemas.openxmlformats.org/officeDocument/2006/relationships/image" Target="media/image3.jpeg"/>
</Relationships>
</file>

<file path=word/_rels/header3.xml.rels><?xml version="1.0" encoding="UTF-8"?>
<Relationships xmlns="http://schemas.openxmlformats.org/package/2006/relationships"><Relationship Id="rId1" Type="http://schemas.openxmlformats.org/officeDocument/2006/relationships/image" Target="media/image3.jpeg"/>
</Relationships>
</file>

<file path=word/theme/theme1.xml><?xml version="1.0" encoding="utf-8"?>
<a:theme xmlns:a="http://schemas.openxmlformats.org/drawingml/2006/main" xmlns:r="http://schemas.openxmlformats.org/officeDocument/2006/relationships" name="Tema do Office">
  <a:themeElements>
    <a:clrScheme name="Office">
      <a:dk1>
        <a:srgbClr val="000000"/>
      </a:dk1>
      <a:lt1>
        <a:srgbClr val="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itchFamily="0" charset="1"/>
        <a:ea typeface=""/>
        <a:cs typeface=""/>
      </a:majorFont>
      <a:minorFont>
        <a:latin typeface="Aptos"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12700" cap="flat" cmpd="sng" algn="ctr">
          <a:prstDash val="solid"/>
          <a:miter lim="800000"/>
        </a:ln>
        <a:ln w="19050" cap="flat" cmpd="sng" algn="ctr">
          <a:prstDash val="solid"/>
          <a:miter lim="800000"/>
        </a:ln>
        <a:ln w="2540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9</TotalTime>
  <Application>LibreOffice/24.2.7.2$Windows_X86_64 LibreOffice_project/ee3885777aa7032db5a9b65deec9457448a91162</Application>
  <AppVersion>15.0000</AppVersion>
  <Pages>20</Pages>
  <Words>7877</Words>
  <Characters>46120</Characters>
  <CharactersWithSpaces>52955</CharactersWithSpaces>
  <Paragraphs>949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2019-06-04T16:18:00Z</dcterms:created>
  <dc:creator>francieli.rocha</dc:creator>
  <dc:description/>
  <dc:language>pt-BR</dc:language>
  <cp:lastModifiedBy/>
  <cp:lastPrinted>2025-11-25T13:32:06Z</cp:lastPrinted>
  <dcterms:modified xsi:type="dcterms:W3CDTF">2025-11-25T13:32:13Z</dcterms:modified>
  <cp:revision>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ICV">
    <vt:lpwstr>64B2F424D10E4AD18A25EC5FB2D75677_12</vt:lpwstr>
  </property>
  <property fmtid="{D5CDD505-2E9C-101B-9397-08002B2CF9AE}" pid="4" name="KSOProductBuildVer">
    <vt:lpwstr>1046-12.2.0.23155</vt:lpwstr>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